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96"/>
        <w:jc w:val="center"/>
        <w:rPr>
          <w:rFonts w:ascii="Garamond" w:hAnsi="Garamond"/>
          <w:b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TERMO DE COMPROMISSO DE AJUSTAMENTO DE CONDUTA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Inquérito Civil nº MPMG-0704.18.000688-1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 </w:t>
      </w:r>
      <w:r>
        <w:rPr>
          <w:rFonts w:ascii="Garamond" w:hAnsi="Garamond"/>
          <w:b/>
          <w:smallCaps/>
          <w:sz w:val="24"/>
          <w:szCs w:val="24"/>
        </w:rPr>
        <w:t>Ministério Público do Estado de Minas Gerais</w:t>
      </w:r>
      <w:r>
        <w:rPr>
          <w:rFonts w:ascii="Garamond" w:hAnsi="Garamond"/>
          <w:sz w:val="24"/>
          <w:szCs w:val="24"/>
        </w:rPr>
        <w:t xml:space="preserve">, representado pelo Promotor de Justiça que este Termo subscreve, denominado doravante COMPROMITENTE e o </w:t>
      </w:r>
      <w:r>
        <w:rPr>
          <w:rFonts w:ascii="Garamond" w:hAnsi="Garamond"/>
          <w:b/>
          <w:sz w:val="24"/>
          <w:szCs w:val="24"/>
        </w:rPr>
        <w:t>MUNICÍPIO DE CABECEIRA GRANDE/MG (“MUNICÍPIO”)</w:t>
      </w:r>
      <w:r>
        <w:rPr>
          <w:rFonts w:ascii="Garamond" w:hAnsi="Garamond"/>
          <w:sz w:val="24"/>
          <w:szCs w:val="24"/>
        </w:rPr>
        <w:t xml:space="preserve">, pessoa jurídica de direito público, inscrita no CNPJ sob o nº 01.603.707/0001-55, com sede na Praça São José, s/nº, Centro, em Cabeceira Grande/MG, neste ato representado por seu advogado Dr. Dailton Geraldo Rodrigues Gonçalves, OAB/MG nº 116.215; e </w:t>
      </w:r>
      <w:r>
        <w:rPr>
          <w:rFonts w:ascii="Garamond" w:hAnsi="Garamond"/>
          <w:b/>
          <w:sz w:val="24"/>
          <w:szCs w:val="24"/>
        </w:rPr>
        <w:t>ENOCK DE SOUZA CAMPOS (“ENOCK”)</w:t>
      </w:r>
      <w:r>
        <w:rPr>
          <w:rFonts w:ascii="Garamond" w:hAnsi="Garamond"/>
          <w:sz w:val="24"/>
          <w:szCs w:val="24"/>
        </w:rPr>
        <w:t>, brasileiro, nascido em 24/05/1940, filho de Yone de Souza Campos, inscrito no CPF sob o nº 017.936.916-49, residente na Rua José do Patrocínio, nº 774, em Unaí/MG, neste ato representado por seu filho Enoch de Souza Campos Filho, conforme procuração juntada nestes autos;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CONSIDERANDO ser função institucional do Ministério Público, na forma do art. 129, inciso III, da Constituição Federal, a proteção do patrimônio público e social, do meio ambiente e de outros interesses difusos e coletivos, dentre os quais figuram os bens e direitos de valor artístico, estético, histórico, turístico e paisagístico;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CONSIDERANDO que o meio ambiente cultural é constituído pelos bens de natureza material e imaterial, tomados individualmente ou em conjunto, portadores de referência à identidade, à ação, à memória, dos diferentes grupos de sociedade brasileira e que o Ministério Público tem legitimidade para promover a apuração e providências na defesa do Patrimônio Cultural;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CONSIDERANDO que compete ao Poder Público, com a colaboração da comunidade, promover e proteger o patrimônio cultural, por meio de inventários, registros, vigilância, tombamento e desapropriação, e de outras formas de acautelamento e preservação, nos termos do que estabelece o art. 216, parágrafo único, da Constituição Federal;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CONSIDERANDO ser competência comum da União, Estados, do Distrito Federal e dos Municípios proteger os documentos, as obras e outros bens de valor histórico, artístico e cultural, os monumentos, as paisagens naturais notáveis e os sítios arqueológicos, bem assim proporcionar os meios de acesso à cultura, à educação e à ciência, nos termos do que estabelece o art. 23, incisos III e V, da Constituição Federal, além de “</w:t>
      </w:r>
      <w:r>
        <w:rPr>
          <w:rFonts w:ascii="Garamond" w:hAnsi="Garamond"/>
          <w:i/>
          <w:sz w:val="24"/>
          <w:szCs w:val="24"/>
        </w:rPr>
        <w:t>legislar sobre assuntos de interesse local</w:t>
      </w:r>
      <w:r>
        <w:rPr>
          <w:rFonts w:ascii="Garamond" w:hAnsi="Garamond"/>
          <w:sz w:val="24"/>
          <w:szCs w:val="24"/>
        </w:rPr>
        <w:t>” e “</w:t>
      </w:r>
      <w:r>
        <w:rPr>
          <w:rFonts w:ascii="Garamond" w:hAnsi="Garamond"/>
          <w:i/>
          <w:sz w:val="24"/>
          <w:szCs w:val="24"/>
        </w:rPr>
        <w:t>promover a proteção do patrimônio histórico-cultural local, observada a legislação e a ação fiscalizadora federal e estadual</w:t>
      </w:r>
      <w:r>
        <w:rPr>
          <w:rFonts w:ascii="Garamond" w:hAnsi="Garamond"/>
          <w:sz w:val="24"/>
          <w:szCs w:val="24"/>
        </w:rPr>
        <w:t>”(art. 30, I e IX);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CONSIDERANDO que a Constituição do Estado de Minas Gerais estabelece que: 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Art. 207 - O Poder Público garante a todos o pleno exercício dos direitos culturais, para o que incentivará, valorizará e difundirá as manifestações culturais da comunidade mineira, mediante, sobretudo: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(...)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IV - adoção de medidas adequadas à identificação, proteção, conservação, revalorização e recuperação do patrimônio cultural, histórico, natural e científico do Estado;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(...)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VI - adoção de ação impeditiva da evasão, destruição e descaracterização de obras de arte e de outros bens de valor histórico, científico, artístico e cultural;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CONSIDERANDO que a Lei Estadual n.º 11.726/94, que dispõe sobre a Política Cultural do Estado de Minas Gerais, estabelece que: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Art. 3º - Constituem patrimônio cultural mineiro os bens de natureza material e imaterial, tomados individualmente ou em conjunto, que contenham referência à identidade, à ação e à memória dos diferentes grupos formadores da sociedade mineira, entre os quais se incluem: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I - as formas de expressão;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II - os modos de criar, fazer e viver;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III - as criações científicas, tecnológicas e artísticas;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IV - as obras, objetos, documentos, edificações e demais espaços destinados a manifestações artístico-culturais;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Art. 5º - O Estado zelará pela preservação dos bens, tomados isoladamente ou em conjunto, que se relacionem com a história, a arquitetura e a arte em Minas Gerais e que sejam representativos da cultura mineira em suas diversas manifestações, contextos e épocas.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CONSIDERANDO que o Estatuto da Cidade estabelece como diretriz orientadora das políticas públicas municipais a “</w:t>
      </w:r>
      <w:r>
        <w:rPr>
          <w:rFonts w:ascii="Garamond" w:hAnsi="Garamond"/>
          <w:i/>
          <w:sz w:val="24"/>
          <w:szCs w:val="24"/>
        </w:rPr>
        <w:t>proteção, preservação e recuperação do meio ambiente natural e construído, do patrimônio cultural, histórico, artístico, paisagístico e arqueológico</w:t>
      </w:r>
      <w:r>
        <w:rPr>
          <w:rFonts w:ascii="Garamond" w:hAnsi="Garamond"/>
          <w:sz w:val="24"/>
          <w:szCs w:val="24"/>
        </w:rPr>
        <w:t>” (art. 2º, XII);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CONSIDERANDO que a Lei Orgânica do Município de Cabeceira Grande/MG prevê que: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Art. 2º. A organização do Município observará os seguintes princípios e diretrizes: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[...]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XI - a preservação dos valores históricos e culturais da população.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Art. 5º. É dever do Poder Municipal, em cooperação com a União, o Estado e com outros municípios, assegurar a todos o exercício dos direitos individuais, coletivos, difusos e sociais estabelecidos pela Constituição da República e pela Constituição Estadual, e daqueles inerentes às condições de vida na cidade, inseridos nas competências municipais específicas, em especial no que respeita a: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[...]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IV - proteção e acesso ao patrimônio histórico, cultural, turístico, artístico, arquitetônico e paisagístico;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Art. 15. Compete privativamente ao Município: 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[...]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VII - promover a proteção do patrimônio histórico-cultural local, observada a legislação e a ação fiscalizadora federal e estadual;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Art. 17. É competência comum do Município, da União e do Estado:</w:t>
        <w:br/>
        <w:t>[...]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III - proteger os documentos, as obras e outros bens de valor histórico, artístico e cultural, os monumentos, as paisagens naturais notáveis e os sítios arqueológicos;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IV - impedir a evasão, a destruição e a descaracterização de obras de arte e de outros bens de valor histórico, artístico ou cultural;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Art. 106. Constituem bens municipais todas as coisas móveis e imóveis, semoventes, direitos e ações que, a qualquer título, pertençam ao Município.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[...]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§ 2º. Os bens municipais destinar-se-ão prioritariamente ao uso público, assegurado o respeito aos princípios e normas de proteção ao meio ambiente, ao patrimônio histórico, cultural e arquitetônico, garantindo-se sempre o interesse social.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Art. 181. O Município garantirá a todos, o exercício dos direitos culturais e o acesso às fontes de cultura, observado o princípio da descentralização, apoiando e incentivando a valorização e a difusão das manifestações culturais.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Art. 182. O Município adotará medidas de preservação das manifestações e dos bens de valor histórico, artístico e cultural, bem como das paisagens naturais e construídas notáveis e dos sítios arqueológicos.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CONSIDERANDO que o imóvel localizado nas imediações da Fazenda Bolívia, no Município de Cabeceira Grande/MG, denominado “Capela Mortuária”, de propriedade de </w:t>
      </w:r>
      <w:r>
        <w:rPr>
          <w:rFonts w:ascii="Garamond" w:hAnsi="Garamond"/>
          <w:b/>
          <w:sz w:val="24"/>
          <w:szCs w:val="24"/>
        </w:rPr>
        <w:t>ENOCK</w:t>
      </w:r>
      <w:r>
        <w:rPr>
          <w:rFonts w:ascii="Garamond" w:hAnsi="Garamond"/>
          <w:sz w:val="24"/>
          <w:szCs w:val="24"/>
        </w:rPr>
        <w:t>, é bem tombado conforme Decreto Municipal nº 1.414/2011;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CONSIDERANDO que a valorização do patrimônio cultural brasileiro depende, necessariamente, do seu conhecimento, de sua fruição e sua preservação, e da consciência que possuímos de nossa própria identidade;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CONSIDERANDO que nos autos do Inquérito Civil nº MPMG-0704.18.000688-1, consta a informação de que a “Capela Mortuária” “</w:t>
      </w:r>
      <w:r>
        <w:rPr>
          <w:rFonts w:ascii="Garamond" w:hAnsi="Garamond"/>
          <w:i/>
          <w:sz w:val="24"/>
          <w:szCs w:val="24"/>
        </w:rPr>
        <w:t>encontra-se em estado de desabamento do telhado e fragilidade estrutural [...]</w:t>
      </w:r>
      <w:r>
        <w:rPr>
          <w:rFonts w:ascii="Garamond" w:hAnsi="Garamond"/>
          <w:sz w:val="24"/>
          <w:szCs w:val="24"/>
        </w:rPr>
        <w:t>”; além de Relatório Técnico do Engenheiro Civil do Município de Cabeceira Grande/MG, datado de 19/09/2017, segundo o qual (sic):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Foi constatado que as instalações encontram – se em situação crítica de conservação a constar: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Pisos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Devido ao grande acumulo de entulho no local não foi possível fazer um levantamento e vistoria da situação do piso da Capela. Recomenda-se que seja executada uma limpeza minuciosa no local e posteriormente seja feita uma nova análise.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Paredes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As paredes são feitas de barro, e apresenta deterioração acentuada em total parte, visto que a lateral direita da capela teve queda de sua estrutura, e o restante da alvenaria apresenta problemas de deslocamento apresentando aberturas e fissuras.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Recomenda-se trocar a alvenaria do barro para tijolos cerâmicos para que se tenha uma estrutura resistente a variações climáticas e do tempo.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Cobertura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Deverá ser recuperada total estrutura da cobertura visto que a do local se encontra quebrada e com problemas de conservação.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Estrutura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Sua estrutura apresenta diversos problemas, seus pilares e vigas são de madeira sem tratamento por sinal, com isso a mesma se encontra com problemas patológicos como apodrecimento e partes quebradas.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Deverá ser trocada partes de vigas e pilares por novas peças de madeira devidamente tratadas.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Conclusão</w:t>
      </w:r>
    </w:p>
    <w:p>
      <w:pPr>
        <w:pStyle w:val="Normal"/>
        <w:spacing w:lineRule="auto" w:line="240" w:before="0" w:after="96"/>
        <w:ind w:left="2835" w:hanging="0"/>
        <w:jc w:val="both"/>
        <w:rPr>
          <w:rFonts w:ascii="Garamond" w:hAnsi="Garamond"/>
          <w:i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O bem tombado denominado “Capela Mortuária” necessita de uma reforma geral, pois o mesmo apresenta riscos pela sua estrutura afetada, acumulo de sujeira e sua precária instalação.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CONSIDERANDO que no Inquérito Civil nº MPMG-0704.18.000688-1, há também outros documentos e fotografias mais recentes que demonstram a completa precariedade do estado de conservação da “Capela Mortuária”;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CONSIDERANDO que o proprietário do imóvel </w:t>
      </w:r>
      <w:r>
        <w:rPr>
          <w:rFonts w:ascii="Garamond" w:hAnsi="Garamond"/>
          <w:b/>
          <w:sz w:val="24"/>
          <w:szCs w:val="24"/>
        </w:rPr>
        <w:t>ENOCK</w:t>
      </w:r>
      <w:r>
        <w:rPr>
          <w:rFonts w:ascii="Garamond" w:hAnsi="Garamond"/>
          <w:sz w:val="24"/>
          <w:szCs w:val="24"/>
        </w:rPr>
        <w:t xml:space="preserve"> e o </w:t>
      </w:r>
      <w:r>
        <w:rPr>
          <w:rFonts w:ascii="Garamond" w:hAnsi="Garamond"/>
          <w:b/>
          <w:sz w:val="24"/>
          <w:szCs w:val="24"/>
        </w:rPr>
        <w:t>MUNICÍPIO</w:t>
      </w:r>
      <w:r>
        <w:rPr>
          <w:rFonts w:ascii="Garamond" w:hAnsi="Garamond"/>
          <w:sz w:val="24"/>
          <w:szCs w:val="24"/>
        </w:rPr>
        <w:t xml:space="preserve"> vêm, de longa data, se omitindo na adoção de providências para garantir a proteção, conservação e restauração desse patrimônio histórico;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CONSIDERANDO que o Termo de Ajustamento de Conduta pode ser inserido no rol das outras formas de acautelamento e preservação do patrimônio cultural de que nos fala a Constituição Federal em seu art. 216, §1º, sendo que é uma alternativa constitucional e legal à judicialização de conflitos envolvendo direitos difusos, permitindo que as partes alcancem pela via consensual, de forma rápida e eficaz, a defesa do bem jurídico visado;</w:t>
      </w:r>
    </w:p>
    <w:p>
      <w:pPr>
        <w:pStyle w:val="Normal"/>
        <w:spacing w:lineRule="auto" w:line="360" w:before="0" w:after="96"/>
        <w:ind w:firstLine="226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RESOLVEM voluntariamente celebrar o presente TERMO DE COMPROMISSO DE AJUSTAMENTO DE CONDUTA, visando à completa resolução das questões, mediante o cumprimento dos seguintes itens: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1) DO OBJETO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1.1) Constitui objeto do presente instrumento a adoção de medidas emergenciais e de restauro, com objetivo de salvaguarda e recuperação de uma construção localizada na Fazenda Bolívia, lugar denominado “Lagoa Encantada”, em Cabeceira Grande/MG, denominada “Capela Mortuária”.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2) DAS OBRIGAÇÕES ASSUMIDAS PELOS COMPROMISSÁRIOS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2.1) </w:t>
      </w:r>
      <w:r>
        <w:rPr>
          <w:rFonts w:ascii="Garamond" w:hAnsi="Garamond"/>
          <w:b/>
          <w:sz w:val="24"/>
          <w:szCs w:val="24"/>
        </w:rPr>
        <w:t>ENOCK</w:t>
      </w:r>
      <w:r>
        <w:rPr>
          <w:rFonts w:ascii="Garamond" w:hAnsi="Garamond"/>
          <w:sz w:val="24"/>
          <w:szCs w:val="24"/>
        </w:rPr>
        <w:t xml:space="preserve"> se obriga a elaborar e submeter à aprovação do Conselho Municipal de Patrimônio Cultural, </w:t>
      </w:r>
      <w:r>
        <w:rPr>
          <w:rFonts w:ascii="Garamond" w:hAnsi="Garamond"/>
          <w:sz w:val="24"/>
          <w:szCs w:val="24"/>
          <w:u w:val="single"/>
        </w:rPr>
        <w:t>no prazo de 90 (noventa) dias contados da assinatura do presente Termo</w:t>
      </w:r>
      <w:r>
        <w:rPr>
          <w:rFonts w:ascii="Garamond" w:hAnsi="Garamond"/>
          <w:sz w:val="24"/>
          <w:szCs w:val="24"/>
        </w:rPr>
        <w:t>, por meio de profissional técnico habilitado com ART ou RRT, Projeto de Restauração integral do imóvel, prevendo a recuperação do prédio e dos seus elementos ornamentais internos e externos, responsáveis pela singularidade da edificação.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§1º. O </w:t>
      </w:r>
      <w:r>
        <w:rPr>
          <w:rFonts w:ascii="Garamond" w:hAnsi="Garamond"/>
          <w:b/>
          <w:sz w:val="24"/>
          <w:szCs w:val="24"/>
        </w:rPr>
        <w:t>MUNICÍPIO</w:t>
      </w:r>
      <w:r>
        <w:rPr>
          <w:rFonts w:ascii="Garamond" w:hAnsi="Garamond"/>
          <w:sz w:val="24"/>
          <w:szCs w:val="24"/>
        </w:rPr>
        <w:t xml:space="preserve"> responderá subsidiariamente pelo cumprimento da obrigação prevista no </w:t>
      </w:r>
      <w:r>
        <w:rPr>
          <w:rFonts w:ascii="Garamond" w:hAnsi="Garamond"/>
          <w:i/>
          <w:sz w:val="24"/>
          <w:szCs w:val="24"/>
        </w:rPr>
        <w:t>caput</w:t>
      </w:r>
      <w:r>
        <w:rPr>
          <w:rFonts w:ascii="Garamond" w:hAnsi="Garamond"/>
          <w:sz w:val="24"/>
          <w:szCs w:val="24"/>
        </w:rPr>
        <w:t>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§2º. O projeto de restauração mencionado no </w:t>
      </w:r>
      <w:r>
        <w:rPr>
          <w:rFonts w:ascii="Garamond" w:hAnsi="Garamond"/>
          <w:i/>
          <w:sz w:val="24"/>
          <w:szCs w:val="24"/>
        </w:rPr>
        <w:t>caput</w:t>
      </w:r>
      <w:r>
        <w:rPr>
          <w:rFonts w:ascii="Garamond" w:hAnsi="Garamond"/>
          <w:sz w:val="24"/>
          <w:szCs w:val="24"/>
        </w:rPr>
        <w:t xml:space="preserve"> deste item poderá contemplar pontuais hipóteses de revitalização, desde que não interfiram no objetivo principal do projeto, isto é, a recuperação do prédio e dos seus elementos ornamentais internos e externos responsáveis pela singularidade da edificação.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2.2) </w:t>
      </w:r>
      <w:r>
        <w:rPr>
          <w:rFonts w:ascii="Garamond" w:hAnsi="Garamond"/>
          <w:b/>
          <w:sz w:val="24"/>
          <w:szCs w:val="24"/>
        </w:rPr>
        <w:t>ENOCK</w:t>
      </w:r>
      <w:r>
        <w:rPr>
          <w:rFonts w:ascii="Garamond" w:hAnsi="Garamond"/>
          <w:sz w:val="24"/>
          <w:szCs w:val="24"/>
        </w:rPr>
        <w:t xml:space="preserve"> se obriga a executar o projeto de restauração integral, no prazo de 180 dias, a contar da data de sua aprovação pelo Conselho Deliberativo Municipal do Patrimônio Histórico e Cultural.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PARÁGRAFO ÚNICO. O </w:t>
      </w:r>
      <w:r>
        <w:rPr>
          <w:rFonts w:ascii="Garamond" w:hAnsi="Garamond"/>
          <w:b/>
          <w:sz w:val="24"/>
          <w:szCs w:val="24"/>
        </w:rPr>
        <w:t>MUNICÍPIO</w:t>
      </w:r>
      <w:r>
        <w:rPr>
          <w:rFonts w:ascii="Garamond" w:hAnsi="Garamond"/>
          <w:sz w:val="24"/>
          <w:szCs w:val="24"/>
        </w:rPr>
        <w:t xml:space="preserve"> responderá subsidiariamente pelo cumprimento da obrigação prevista no </w:t>
      </w:r>
      <w:r>
        <w:rPr>
          <w:rFonts w:ascii="Garamond" w:hAnsi="Garamond"/>
          <w:i/>
          <w:sz w:val="24"/>
          <w:szCs w:val="24"/>
        </w:rPr>
        <w:t>caput</w:t>
      </w:r>
      <w:r>
        <w:rPr>
          <w:rFonts w:ascii="Garamond" w:hAnsi="Garamond"/>
          <w:sz w:val="24"/>
          <w:szCs w:val="24"/>
        </w:rPr>
        <w:t>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2.3) </w:t>
      </w:r>
      <w:r>
        <w:rPr>
          <w:rFonts w:ascii="Garamond" w:hAnsi="Garamond"/>
          <w:b/>
          <w:sz w:val="24"/>
          <w:szCs w:val="24"/>
        </w:rPr>
        <w:t>ENOCK</w:t>
      </w:r>
      <w:r>
        <w:rPr>
          <w:rFonts w:ascii="Garamond" w:hAnsi="Garamond"/>
          <w:sz w:val="24"/>
          <w:szCs w:val="24"/>
        </w:rPr>
        <w:t xml:space="preserve"> e o </w:t>
      </w:r>
      <w:r>
        <w:rPr>
          <w:rFonts w:ascii="Garamond" w:hAnsi="Garamond"/>
          <w:b/>
          <w:sz w:val="24"/>
          <w:szCs w:val="24"/>
        </w:rPr>
        <w:t>MUNICÍPIO</w:t>
      </w:r>
      <w:r>
        <w:rPr>
          <w:rFonts w:ascii="Garamond" w:hAnsi="Garamond"/>
          <w:sz w:val="24"/>
          <w:szCs w:val="24"/>
        </w:rPr>
        <w:t xml:space="preserve"> se obrigam a conservar e preservar o imóvel objeto deste ajuste, dando-lhe destinação útil compatível com suas características.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3) DAS PENALIDADES ASSUMIDAS EM CASO DE DESCUMPRIMENTO DO TERMO AJUSTADO.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3.1) O descumprimento injustificado de qualquer das obrigações fixadas no presente instrumento, seja ele total ou parcial, implicará, independentemente de prévia notificação judicial ou extrajudicial e das demais sanções e providências cabíveis, nos termos da legislação e deste compromisso, a incidência de multa diária no valor de R$1.000,00 (mil reais) por dia de atraso, a qual será destinada ao Fundo Especial do Ministério Público do Estado de Minas Gerais, de acordo com o artigo 3º da Lei Complementar Estadual nº 67, de 22 de janeiro de 2003.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3.2) O não pagamento da multa prevista no item 3.1 implica sua execução pelo Ministério Público, acrescida de atualização monetária, adotando-se para tanto os índices utilizados pelo Tribunal de Justiça do Estado de Minas Gerais para correção de débitos judiciais, mais juros moratórios de 0,5 % (meio por cento) ao mês.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4) CLÁUSULAS GERAIS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4.1) O(s) COMPROMISSÁRIO(S) fica(m) ciente(s) da natureza de título executivo extrajudicial deste termo, apto a produzir efeitos a partir de sua celebração e de que poderá(ão) ser responsabilizado(s) civil, penal e administrativamente, em caso de descumprimento das obrigações pactuadas.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4.2) O(s) COMPROMISSÁRIO(S) arcará(ão) com todas as despesas necessárias para a fiscalização do fiel cumprimento da presente avença, inclusive o ressarcimento de perícias, vistorias e demais providências necessárias.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4.3) Os prazos previstos neste Termo de Ajustamento de Conduta poderão ser prorrogados justificadamente, mediante a anuência expressa do COMPROMITENTE, hipótese em que haverá suspensão do prazo por período determinado pelo Promotor de Justiça, voltando a correr depois de cessado o período estabelecido.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4.4) O(s) COMPROMISSÁRIO(s) reconhece(m) que todas as obrigações assumidas no presente termo são de relevante interesse ambiental/cultural.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4.5) A assinatura do presente termo não impede as ações de controle, fiscalização e monitoramento de qualquer órgão competente; não substitui ou ilide as condicionantes impostas em procedimento de licenciamento ambiental; nem limita ou impede o exercício, de atribuições e prerrogativas legais dos demais órgãos competentes.</w:t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4.6) As partes elegem o foro da Comarca de Unaí/MG para dirimir conflitos decorrentes da lavratura do presente Termo de Ajustamento de Conduta.</w:t>
      </w:r>
    </w:p>
    <w:p>
      <w:pPr>
        <w:pStyle w:val="Normal"/>
        <w:spacing w:lineRule="auto" w:line="240" w:before="0" w:after="9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Unaí, 19 de agosto de 2019.</w:t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tbl>
      <w:tblPr>
        <w:tblStyle w:val="Tabelacomgrade"/>
        <w:tblW w:w="87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8"/>
        <w:gridCol w:w="4388"/>
      </w:tblGrid>
      <w:tr>
        <w:trPr/>
        <w:tc>
          <w:tcPr>
            <w:tcW w:w="43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MUNICÍPIO DE CABECEIRA GRANDE/MG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Dr. Dailton Geraldo Rodrigues Gonçalves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OAB/MG nº 116.215</w:t>
            </w:r>
          </w:p>
        </w:tc>
      </w:tr>
    </w:tbl>
    <w:p>
      <w:pPr>
        <w:pStyle w:val="Normal"/>
        <w:spacing w:lineRule="auto" w:line="240" w:before="0" w:after="96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ENOCK DE SOUZA CAMPOS</w:t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p.p. Enoch de Souza Campos Filho</w:t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96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96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Stefano Naves Boglione</w:t>
      </w:r>
    </w:p>
    <w:p>
      <w:pPr>
        <w:pStyle w:val="Normal"/>
        <w:spacing w:lineRule="auto" w:line="240" w:before="0" w:after="96"/>
        <w:jc w:val="center"/>
        <w:rPr/>
      </w:pPr>
      <w:r>
        <w:rPr>
          <w:rFonts w:ascii="Garamond" w:hAnsi="Garamond"/>
          <w:sz w:val="24"/>
          <w:szCs w:val="24"/>
        </w:rPr>
        <w:t>Promotor de Justiça</w:t>
      </w:r>
    </w:p>
    <w:sectPr>
      <w:headerReference w:type="default" r:id="rId2"/>
      <w:footerReference w:type="default" r:id="rId3"/>
      <w:type w:val="nextPage"/>
      <w:pgSz w:w="11906" w:h="16838"/>
      <w:pgMar w:left="1701" w:right="1418" w:header="709" w:top="1701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36979568"/>
    </w:sdtPr>
    <w:sdtContent>
      <w:p>
        <w:pPr>
          <w:pStyle w:val="Rodap1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Rodap1"/>
      <w:jc w:val="center"/>
      <w:rPr>
        <w:rFonts w:ascii="Garamond" w:hAnsi="Garamond" w:cs="Calibri" w:cstheme="minorHAnsi"/>
      </w:rPr>
    </w:pPr>
    <w:r>
      <w:rPr>
        <w:rFonts w:ascii="Garamond" w:hAnsi="Garamond"/>
      </w:rPr>
      <w:t>Rua Virgílio Justiniano Ribeiro, n</w:t>
    </w:r>
    <w:r>
      <w:rPr>
        <w:rFonts w:cs="Calibri" w:ascii="Garamond" w:hAnsi="Garamond" w:cstheme="minorHAnsi"/>
      </w:rPr>
      <w:t>° 555, Sala 115, Centro, Unaí/MG</w:t>
    </w:r>
  </w:p>
  <w:p>
    <w:pPr>
      <w:pStyle w:val="Rodap1"/>
      <w:jc w:val="center"/>
      <w:rPr>
        <w:rFonts w:ascii="Garamond" w:hAnsi="Garamond"/>
      </w:rPr>
    </w:pPr>
    <w:r>
      <w:rPr>
        <w:rFonts w:cs="Calibri" w:ascii="Garamond" w:hAnsi="Garamond" w:cstheme="minorHAnsi"/>
      </w:rPr>
      <w:t>CEP 38.610-000. Telefone: (38) 3677-4859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1"/>
      <w:jc w:val="center"/>
      <w:rPr/>
    </w:pPr>
    <w:r>
      <w:rPr/>
      <w:drawing>
        <wp:inline distT="0" distB="0" distL="0" distR="0">
          <wp:extent cx="741680" cy="74168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1"/>
      <w:jc w:val="center"/>
      <w:rPr>
        <w:sz w:val="14"/>
      </w:rPr>
    </w:pPr>
    <w:r>
      <w:rPr>
        <w:sz w:val="14"/>
      </w:rPr>
    </w:r>
  </w:p>
  <w:p>
    <w:pPr>
      <w:pStyle w:val="Cabealho1"/>
      <w:jc w:val="center"/>
      <w:rPr>
        <w:rFonts w:ascii="Garamond" w:hAnsi="Garamond"/>
        <w:sz w:val="25"/>
        <w:szCs w:val="25"/>
      </w:rPr>
    </w:pPr>
    <w:r>
      <w:rPr>
        <w:rFonts w:ascii="Garamond" w:hAnsi="Garamond"/>
        <w:sz w:val="25"/>
        <w:szCs w:val="25"/>
      </w:rPr>
      <w:t>MINISTÉRIO PÚBLICO DO ESTADO DE MINAS GERAIS</w:t>
    </w:r>
  </w:p>
  <w:p>
    <w:pPr>
      <w:pStyle w:val="Cabealho1"/>
      <w:jc w:val="center"/>
      <w:rPr>
        <w:rFonts w:ascii="Garamond" w:hAnsi="Garamond"/>
        <w:smallCaps/>
      </w:rPr>
    </w:pPr>
    <w:r>
      <w:rPr>
        <w:rFonts w:ascii="Garamond" w:hAnsi="Garamond"/>
        <w:smallCaps/>
        <w:sz w:val="25"/>
        <w:szCs w:val="25"/>
      </w:rPr>
      <w:t>4ª Promotoria de Justiça da Comarca de Unaí/MG</w:t>
    </w:r>
  </w:p>
  <w:p>
    <w:pPr>
      <w:pStyle w:val="Cabealho1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10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0763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07630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07630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0763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0763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076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763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6c1d35"/>
    <w:pPr>
      <w:spacing w:before="0" w:after="200"/>
      <w:ind w:left="720" w:hanging="0"/>
      <w:contextualSpacing/>
    </w:pPr>
    <w:rPr/>
  </w:style>
  <w:style w:type="paragraph" w:styleId="Cabealho1" w:customStyle="1">
    <w:name w:val="Cabeçalho1"/>
    <w:basedOn w:val="Normal"/>
    <w:uiPriority w:val="99"/>
    <w:unhideWhenUsed/>
    <w:qFormat/>
    <w:rsid w:val="00a46f1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color w:val="00000A"/>
    </w:rPr>
  </w:style>
  <w:style w:type="paragraph" w:styleId="Rodap1" w:customStyle="1">
    <w:name w:val="Rodapé1"/>
    <w:basedOn w:val="Normal"/>
    <w:uiPriority w:val="99"/>
    <w:semiHidden/>
    <w:unhideWhenUsed/>
    <w:qFormat/>
    <w:rsid w:val="00a46f1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color w:val="00000A"/>
    </w:rPr>
  </w:style>
  <w:style w:type="paragraph" w:styleId="NormalWeb">
    <w:name w:val="Normal (Web)"/>
    <w:basedOn w:val="Normal"/>
    <w:uiPriority w:val="99"/>
    <w:semiHidden/>
    <w:unhideWhenUsed/>
    <w:qFormat/>
    <w:rsid w:val="001a2b26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f6c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LibreOffice/6.1.3.2$Windows_X86_64 LibreOffice_project/86daf60bf00efa86ad547e59e09d6bb77c699acb</Application>
  <Pages>6</Pages>
  <Words>2068</Words>
  <Characters>11888</Characters>
  <CharactersWithSpaces>13868</CharactersWithSpaces>
  <Paragraphs>92</Paragraphs>
  <Company>KRYPTON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2019-02-19T19:32:00Z</dcterms:created>
  <dc:creator>Administrador</dc:creator>
  <dc:description/>
  <dc:language>pt-BR</dc:language>
  <cp:lastModifiedBy>PGJMG</cp:lastModifiedBy>
  <cp:lastPrinted>2016-04-04T16:10:00Z</cp:lastPrinted>
  <dcterms:modified xsi:type="dcterms:W3CDTF">2019-08-19T17:52:00Z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KRYPTON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