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numPr>
          <w:ilvl w:val="0"/>
          <w:numId w:val="0"/>
        </w:numPr>
        <w:spacing w:lineRule="auto" w:line="240" w:before="0" w:after="0"/>
        <w:ind w:left="0" w:hanging="0"/>
        <w:jc w:val="center"/>
        <w:rPr>
          <w:rFonts w:ascii="Arial" w:hAnsi="Arial" w:eastAsia="Arial" w:cs="Arial"/>
          <w:i w:val="false"/>
          <w:i w:val="false"/>
          <w:iCs w:val="false"/>
          <w:sz w:val="23"/>
          <w:szCs w:val="23"/>
          <w:u w:val="none"/>
        </w:rPr>
      </w:pPr>
      <w:r>
        <w:rPr>
          <w:rFonts w:eastAsia="Arial" w:cs="Arial" w:ascii="Arial" w:hAnsi="Arial"/>
          <w:i w:val="false"/>
          <w:iCs w:val="false"/>
          <w:sz w:val="23"/>
          <w:szCs w:val="23"/>
          <w:u w:val="none"/>
        </w:rPr>
        <w:t>TERMO DE AJUSTAMENTO DE CONDUTA</w:t>
      </w:r>
    </w:p>
    <w:p>
      <w:pPr>
        <w:pStyle w:val="Normal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bidi w:val="0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Normal"/>
        <w:bidi w:val="0"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sz w:val="23"/>
          <w:szCs w:val="23"/>
          <w:lang w:eastAsia="en-US"/>
        </w:rPr>
      </w:pPr>
      <w:r>
        <w:rPr>
          <w:rFonts w:eastAsia="Arial" w:cs="Arial" w:ascii="Arial" w:hAnsi="Arial"/>
          <w:b/>
          <w:bCs/>
          <w:i/>
          <w:iCs/>
          <w:sz w:val="23"/>
          <w:szCs w:val="23"/>
          <w:lang w:eastAsia="en-US"/>
        </w:rPr>
        <w:t>Inquérito Civil n.º MPMG-0696.18.001494-1</w:t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Referência: Auto (s) de Infração 90.741</w:t>
      </w:r>
    </w:p>
    <w:p>
      <w:pPr>
        <w:pStyle w:val="Normal"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eastAsia="Arial" w:cs="Arial"/>
          <w:b/>
          <w:b/>
          <w:bCs/>
          <w:i/>
          <w:i/>
          <w:iCs/>
          <w:sz w:val="23"/>
          <w:szCs w:val="23"/>
          <w:lang w:eastAsia="en-US"/>
        </w:rPr>
      </w:pPr>
      <w:r>
        <w:rPr>
          <w:rFonts w:eastAsia="Arial" w:cs="Arial" w:ascii="Arial" w:hAnsi="Arial"/>
          <w:b/>
          <w:bCs/>
          <w:i/>
          <w:iCs/>
          <w:sz w:val="23"/>
          <w:szCs w:val="23"/>
          <w:lang w:eastAsia="en-US"/>
        </w:rPr>
        <w:t>Matrícula (s): 493, 7.121, 12.085 e 26.785 CRI de Tupaciguara</w:t>
      </w:r>
    </w:p>
    <w:p>
      <w:pPr>
        <w:pStyle w:val="Normal"/>
        <w:spacing w:lineRule="auto" w:line="240"/>
        <w:rPr>
          <w:rFonts w:ascii="Arial" w:hAnsi="Arial" w:eastAsia="Arial" w:cs="Arial"/>
          <w:sz w:val="23"/>
          <w:szCs w:val="23"/>
          <w:lang w:eastAsia="en-US"/>
        </w:rPr>
      </w:pPr>
      <w:r>
        <w:rPr>
          <w:rFonts w:eastAsia="Arial" w:cs="Arial" w:ascii="Arial" w:hAnsi="Arial"/>
          <w:sz w:val="23"/>
          <w:szCs w:val="23"/>
          <w:lang w:eastAsia="en-US"/>
        </w:rPr>
      </w:r>
    </w:p>
    <w:p>
      <w:pPr>
        <w:pStyle w:val="Normal"/>
        <w:spacing w:lineRule="auto" w:line="240"/>
        <w:rPr>
          <w:rFonts w:ascii="Arial" w:hAnsi="Arial" w:eastAsia="Arial" w:cs="Arial"/>
          <w:sz w:val="23"/>
          <w:szCs w:val="23"/>
          <w:lang w:eastAsia="en-US"/>
        </w:rPr>
      </w:pPr>
      <w:r>
        <w:rPr>
          <w:rFonts w:eastAsia="Arial" w:cs="Arial" w:ascii="Arial" w:hAnsi="Arial"/>
          <w:sz w:val="23"/>
          <w:szCs w:val="23"/>
          <w:lang w:eastAsia="en-US"/>
        </w:rPr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sz w:val="23"/>
          <w:szCs w:val="23"/>
          <w:lang w:eastAsia="en-US"/>
        </w:rPr>
        <w:t>OBJETO:</w:t>
      </w:r>
      <w:r>
        <w:rPr>
          <w:rFonts w:eastAsia="Arial" w:cs="Arial" w:ascii="Arial" w:hAnsi="Arial"/>
          <w:sz w:val="23"/>
          <w:szCs w:val="23"/>
          <w:lang w:eastAsia="en-US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MEDIDA COMPENSATÓRIA – ENUNCIADO 50, DO CONSELHO </w:t>
      </w:r>
    </w:p>
    <w:p>
      <w:pPr>
        <w:pStyle w:val="Normal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SUPERIOR DO MINISTÉRIO PÚBLICO DE MINAS GERAIS</w:t>
      </w:r>
    </w:p>
    <w:p>
      <w:pPr>
        <w:pStyle w:val="Normal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Normal"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eastAsia="Arial" w:cs="Arial"/>
          <w:sz w:val="23"/>
          <w:szCs w:val="23"/>
          <w:lang w:eastAsia="en-US"/>
        </w:rPr>
      </w:pPr>
      <w:r>
        <w:rPr>
          <w:rFonts w:eastAsia="Arial" w:cs="Arial" w:ascii="Arial" w:hAnsi="Arial"/>
          <w:sz w:val="23"/>
          <w:szCs w:val="23"/>
          <w:lang w:eastAsia="en-US"/>
        </w:rPr>
      </w:r>
    </w:p>
    <w:p>
      <w:pPr>
        <w:pStyle w:val="BodyTextIndent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sz w:val="23"/>
          <w:szCs w:val="23"/>
        </w:rPr>
        <w:t xml:space="preserve">O </w:t>
      </w:r>
      <w:r>
        <w:rPr>
          <w:rFonts w:eastAsia="Arial" w:cs="Arial" w:ascii="Arial" w:hAnsi="Arial"/>
          <w:b/>
          <w:bCs/>
          <w:sz w:val="23"/>
          <w:szCs w:val="23"/>
        </w:rPr>
        <w:t>MINISTÉRIO PÚBLICO DO ESTADO DE MINAS GERAIS</w:t>
      </w:r>
      <w:r>
        <w:rPr>
          <w:rFonts w:eastAsia="Arial" w:cs="Arial" w:ascii="Arial" w:hAnsi="Arial"/>
          <w:sz w:val="23"/>
          <w:szCs w:val="23"/>
        </w:rPr>
        <w:t xml:space="preserve">, representados pelo (a) (s) Promotor (a) (s) de Justiça, infra-assinando (a) (s), Doutor </w:t>
      </w:r>
      <w:r>
        <w:rPr>
          <w:rFonts w:eastAsia="Arial" w:cs="Arial" w:ascii="Arial" w:hAnsi="Arial"/>
          <w:b/>
          <w:bCs/>
          <w:sz w:val="23"/>
          <w:szCs w:val="23"/>
        </w:rPr>
        <w:t>CARLOS ALBERTO VALERA</w:t>
      </w:r>
      <w:r>
        <w:rPr>
          <w:rFonts w:eastAsia="Arial" w:cs="Arial" w:ascii="Arial" w:hAnsi="Arial"/>
          <w:sz w:val="23"/>
          <w:szCs w:val="23"/>
        </w:rPr>
        <w:t xml:space="preserve">, e o (a) (s) Compromissário (a) (s) </w:t>
      </w:r>
      <w:r>
        <w:rPr>
          <w:rFonts w:eastAsia="Arial" w:cs="Arial" w:ascii="Arial" w:hAnsi="Arial"/>
          <w:b/>
          <w:bCs/>
          <w:sz w:val="23"/>
          <w:szCs w:val="23"/>
        </w:rPr>
        <w:t>LUIZ ANTÔNIO MEIRELES VASCONCELOS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, por Procurador, o Doutor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FLÁVIO PEREIRA MONTES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, OAB/MG 82.714, e com a presença do Senhor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SERGIO LEAL DE SOUZA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, gerente do imóvel rural:</w:t>
      </w:r>
    </w:p>
    <w:p>
      <w:pPr>
        <w:pStyle w:val="BodyTextIndent0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BodyTextIndent0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CONSIDERANDO que “todos tem direito ao meio ambiente ecologicamente equilibrado, bem de uso comum do povo e essencial à sadia qualidade de vida, impondo-se ao Poder Público e à coletividade o dever de defendê-lo e preservá-lo para as presentes e futuras gerações” (Art. 225, </w:t>
      </w:r>
      <w:r>
        <w:rPr>
          <w:rFonts w:eastAsia="Arial" w:cs="Arial" w:ascii="Arial" w:hAnsi="Arial"/>
          <w:i/>
          <w:iCs/>
          <w:sz w:val="23"/>
          <w:szCs w:val="23"/>
        </w:rPr>
        <w:t>caput</w:t>
      </w:r>
      <w:r>
        <w:rPr>
          <w:rFonts w:eastAsia="Arial" w:cs="Arial" w:ascii="Arial" w:hAnsi="Arial"/>
          <w:sz w:val="23"/>
          <w:szCs w:val="23"/>
        </w:rPr>
        <w:t>, da CR/88);</w:t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  <w:t xml:space="preserve">CONSIDERANDO ser essencial estabelecer um </w:t>
      </w:r>
      <w:r>
        <w:rPr>
          <w:rFonts w:eastAsia="Arial" w:cs="Arial"/>
          <w:b/>
          <w:bCs/>
          <w:sz w:val="23"/>
          <w:szCs w:val="23"/>
        </w:rPr>
        <w:t>núcleo mínimo</w:t>
      </w:r>
      <w:r>
        <w:rPr>
          <w:rFonts w:eastAsia="Arial" w:cs="Arial"/>
          <w:sz w:val="23"/>
          <w:szCs w:val="23"/>
        </w:rPr>
        <w:t xml:space="preserve"> de normas para efetividade ao direito constitucional do </w:t>
      </w:r>
      <w:r>
        <w:rPr>
          <w:rFonts w:eastAsia="Arial" w:cs="Arial"/>
          <w:b/>
          <w:bCs/>
          <w:sz w:val="23"/>
          <w:szCs w:val="23"/>
        </w:rPr>
        <w:t>Meio Ambiente Ecologicamente Equilibrado</w:t>
      </w:r>
      <w:r>
        <w:rPr>
          <w:rFonts w:eastAsia="Arial" w:cs="Arial"/>
          <w:sz w:val="23"/>
          <w:szCs w:val="23"/>
        </w:rPr>
        <w:t>;</w:t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</w:r>
    </w:p>
    <w:p>
      <w:pPr>
        <w:pStyle w:val="Recuodecorpodetexto22"/>
        <w:bidi w:val="0"/>
        <w:spacing w:lineRule="auto" w:line="240" w:beforeAutospacing="0" w:before="0" w:afterAutospacing="0" w:after="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bookmarkStart w:id="0" w:name="4X"/>
      <w:bookmarkEnd w:id="0"/>
      <w:r>
        <w:rPr>
          <w:rFonts w:eastAsia="Arial" w:cs="Arial"/>
          <w:color w:val="000000" w:themeColor="text1" w:themeShade="ff" w:themeTint="ff"/>
          <w:sz w:val="23"/>
          <w:szCs w:val="23"/>
        </w:rPr>
        <w:t xml:space="preserve">CONSIDERANDO a importância da proteção ambiental no contexto dos </w:t>
      </w:r>
      <w:r>
        <w:rPr>
          <w:rFonts w:eastAsia="Arial" w:cs="Arial"/>
          <w:b/>
          <w:bCs/>
          <w:color w:val="000000" w:themeColor="text1" w:themeShade="ff" w:themeTint="ff"/>
          <w:sz w:val="23"/>
          <w:szCs w:val="23"/>
        </w:rPr>
        <w:t>Princípios da Razoabilidade e da Proporcionalidade</w:t>
      </w:r>
      <w:r>
        <w:rPr>
          <w:rFonts w:eastAsia="Arial" w:cs="Arial"/>
          <w:color w:val="000000" w:themeColor="text1" w:themeShade="ff" w:themeTint="ff"/>
          <w:sz w:val="23"/>
          <w:szCs w:val="23"/>
        </w:rPr>
        <w:t>, para efetivar conceitos técnicos e naturais sobre as questões ambientais e preservar ecossistemas, responsáveis por serviços ecológicos (Art. 225, §1</w:t>
      </w:r>
      <w:r>
        <w:rPr>
          <w:rFonts w:eastAsia="Arial" w:cs="Arial"/>
          <w:color w:val="000000" w:themeColor="text1" w:themeShade="ff" w:themeTint="ff"/>
          <w:sz w:val="23"/>
          <w:szCs w:val="23"/>
          <w:vertAlign w:val="superscript"/>
        </w:rPr>
        <w:t>o</w:t>
      </w:r>
      <w:r>
        <w:rPr>
          <w:rFonts w:eastAsia="Arial" w:cs="Arial"/>
          <w:color w:val="000000" w:themeColor="text1" w:themeShade="ff" w:themeTint="ff"/>
          <w:sz w:val="23"/>
          <w:szCs w:val="23"/>
        </w:rPr>
        <w:t>, incisos I e III, da CR/88);</w:t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color w:val="000000" w:themeColor="text1" w:themeShade="ff" w:themeTint="ff"/>
          <w:sz w:val="23"/>
          <w:szCs w:val="23"/>
        </w:rPr>
      </w:r>
    </w:p>
    <w:p>
      <w:pPr>
        <w:pStyle w:val="Recuodecorpodetexto22"/>
        <w:bidi w:val="0"/>
        <w:spacing w:lineRule="auto" w:line="240"/>
        <w:ind w:firstLine="1701"/>
        <w:jc w:val="both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CONSIDERANDO o Cadastro Ambiental Rural apresentado nos autos, demonstrando que a propriedade rural está ambientalmente adequada, para fins d</w:t>
      </w:r>
      <w:r>
        <w:rPr>
          <w:rFonts w:eastAsia="Arial" w:cs="Arial"/>
          <w:color w:val="000000" w:themeColor="text1" w:themeShade="ff" w:themeTint="ff"/>
          <w:sz w:val="23"/>
          <w:szCs w:val="23"/>
        </w:rPr>
        <w:t>o cumprimento do Enunciado nº 37, do Conselho Superior do Ministério Público de Minas Gerais;</w:t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color w:val="000000" w:themeColor="text1" w:themeShade="ff" w:themeTint="ff"/>
          <w:sz w:val="23"/>
          <w:szCs w:val="23"/>
        </w:rPr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color w:val="000000"/>
          <w:sz w:val="23"/>
          <w:szCs w:val="23"/>
        </w:rPr>
        <w:t>CONSIDERANDO a compensação ambiental, nos termos do Enunciado n.º 50</w:t>
      </w:r>
      <w:r>
        <w:rPr>
          <w:rStyle w:val="Ncoradanotaderodap"/>
          <w:rFonts w:eastAsia="Arial" w:cs="Arial"/>
          <w:color w:val="000000"/>
          <w:sz w:val="23"/>
          <w:szCs w:val="23"/>
        </w:rPr>
        <w:footnoteReference w:id="2"/>
      </w:r>
      <w:r>
        <w:rPr>
          <w:rFonts w:eastAsia="Arial" w:cs="Arial"/>
          <w:color w:val="000000"/>
          <w:sz w:val="23"/>
          <w:szCs w:val="23"/>
        </w:rPr>
        <w:t>, do Conselho Superior do Ministério Público do Estado de Minas Gerais;</w:t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color w:val="000000" w:themeColor="text1" w:themeShade="ff" w:themeTint="ff"/>
          <w:sz w:val="23"/>
          <w:szCs w:val="23"/>
        </w:rPr>
      </w:r>
    </w:p>
    <w:p>
      <w:pPr>
        <w:pStyle w:val="Recuodecorpodetexto21"/>
        <w:spacing w:lineRule="auto" w:line="240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/>
          <w:color w:val="000000" w:themeColor="text1" w:themeShade="ff" w:themeTint="ff"/>
          <w:sz w:val="23"/>
          <w:szCs w:val="23"/>
        </w:rPr>
        <w:t>CONSIDERANDO que a população da região tem solicitado aos Órgãos de Execução do Ministério Público que os recursos financeiros decorrentes de medidas compensatórias impostas por danos ambientais sejam aplicados em reforço institucional;</w:t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eastAsia="Arial" w:cs="Arial"/>
          <w:color w:val="000000"/>
          <w:sz w:val="23"/>
          <w:szCs w:val="23"/>
        </w:rPr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  <w:t xml:space="preserve">CONSIDERANDO que o (a) (s) compromissário (a) (s) de forma voluntária está (ão) disposto (a) (s) a celebrar (em) compromisso no bojo de Inquérito Civil instaurado no âmbito da Promotoria de Justiça de Meio Ambiente local, disciplinado no </w:t>
      </w:r>
      <w:r>
        <w:rPr>
          <w:rFonts w:eastAsia="Arial" w:cs="Arial"/>
          <w:color w:val="000000" w:themeColor="text1" w:themeShade="ff" w:themeTint="ff"/>
          <w:sz w:val="23"/>
          <w:szCs w:val="23"/>
        </w:rPr>
        <w:t xml:space="preserve">Art. </w:t>
      </w:r>
      <w:r>
        <w:rPr>
          <w:rFonts w:eastAsia="Arial" w:cs="Arial"/>
          <w:sz w:val="23"/>
          <w:szCs w:val="23"/>
        </w:rPr>
        <w:t>5º, da Lei Federal 7.437/85;</w:t>
      </w:r>
    </w:p>
    <w:p>
      <w:pPr>
        <w:pStyle w:val="Recuodecorpodetexto22"/>
        <w:spacing w:lineRule="auto" w:line="24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  <w:t>CONSIDERANDO que a multa administrativa vem sendo adimplida de forma parcelada;</w:t>
      </w:r>
    </w:p>
    <w:p>
      <w:pPr>
        <w:pStyle w:val="Recuodecorpodetexto22"/>
        <w:spacing w:lineRule="auto" w:line="24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</w:r>
    </w:p>
    <w:p>
      <w:pPr>
        <w:pStyle w:val="Recuodecorpodetexto22"/>
        <w:bidi w:val="0"/>
        <w:spacing w:lineRule="auto" w:line="240" w:beforeAutospacing="0" w:before="0" w:afterAutospacing="0" w:after="0"/>
        <w:ind w:left="0" w:right="0" w:firstLine="1701"/>
        <w:jc w:val="both"/>
        <w:rPr>
          <w:rFonts w:ascii="Arial" w:hAnsi="Arial" w:eastAsia="Arial" w:cs="Arial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/>
          <w:sz w:val="23"/>
          <w:szCs w:val="23"/>
        </w:rPr>
        <w:t xml:space="preserve">CONSIDERANDO que eventuais pleitos e todas as cláusulas e condições deverão ser requeridos e/ou demonstrados junto a </w:t>
      </w:r>
      <w:r>
        <w:rPr>
          <w:rFonts w:eastAsia="Arial" w:cs="Arial"/>
          <w:b/>
          <w:bCs/>
          <w:sz w:val="23"/>
          <w:szCs w:val="23"/>
        </w:rPr>
        <w:t>Promotoria de Justiça de Tupaciguara</w:t>
      </w:r>
      <w:r>
        <w:rPr>
          <w:rFonts w:eastAsia="Arial" w:cs="Arial"/>
          <w:sz w:val="23"/>
          <w:szCs w:val="23"/>
        </w:rPr>
        <w:t>, localizada na Rua Rodrigo do Vale</w:t>
      </w:r>
      <w:r>
        <w:rPr>
          <w:rFonts w:eastAsia="Arial" w:cs="Arial"/>
          <w:color w:val="000000" w:themeColor="text1" w:themeShade="ff" w:themeTint="ff"/>
          <w:sz w:val="23"/>
          <w:szCs w:val="23"/>
          <w:lang w:val="pt-BR"/>
        </w:rPr>
        <w:t>, 77, Centrio, CEP: 38.430-000, em Tupaciguara, Minas Gerais:</w:t>
      </w:r>
    </w:p>
    <w:p>
      <w:pPr>
        <w:pStyle w:val="Recuodecorpodetexto22"/>
        <w:spacing w:lineRule="auto" w:line="240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eastAsia="Arial" w:cs="Arial"/>
          <w:color w:val="000000"/>
          <w:sz w:val="23"/>
          <w:szCs w:val="23"/>
        </w:rPr>
      </w:r>
    </w:p>
    <w:p>
      <w:pPr>
        <w:pStyle w:val="Recuodecorpodetexto22"/>
        <w:spacing w:lineRule="auto" w:line="240"/>
        <w:rPr>
          <w:rFonts w:ascii="Arial" w:hAnsi="Arial"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  <w:t xml:space="preserve">RESOLVEM celebrar o presente </w:t>
      </w:r>
      <w:r>
        <w:rPr>
          <w:rFonts w:eastAsia="Arial" w:cs="Arial"/>
          <w:b/>
          <w:bCs/>
          <w:sz w:val="23"/>
          <w:szCs w:val="23"/>
        </w:rPr>
        <w:t>TERMO DE AJUSTAMENTO DE CONDUTA</w:t>
      </w:r>
      <w:r>
        <w:rPr>
          <w:rFonts w:eastAsia="Arial" w:cs="Arial"/>
          <w:sz w:val="23"/>
          <w:szCs w:val="23"/>
        </w:rPr>
        <w:t>, afeto (s) ao presente Inquérito Civil, conforme as cláusulas e condições abaixo redigidas:</w:t>
      </w:r>
    </w:p>
    <w:p>
      <w:pPr>
        <w:pStyle w:val="Recuodecorpodetexto22"/>
        <w:bidi w:val="0"/>
        <w:spacing w:lineRule="auto" w:line="240" w:beforeAutospacing="0" w:before="0" w:afterAutospacing="0" w:after="0"/>
        <w:ind w:left="0" w:right="0" w:firstLine="1701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1. </w:t>
      </w:r>
      <w:r>
        <w:rPr>
          <w:rFonts w:eastAsia="Arial" w:cs="Arial" w:ascii="Arial" w:hAnsi="Arial"/>
          <w:b/>
          <w:bCs/>
          <w:i w:val="false"/>
          <w:iCs w:val="false"/>
          <w:caps/>
          <w:color w:val="000000" w:themeColor="text1" w:themeShade="ff" w:themeTint="ff"/>
          <w:sz w:val="23"/>
          <w:szCs w:val="23"/>
          <w:lang w:val="pt-B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 DA RESERVA LEGAL E DAS ÁREAS DE PRESERVAÇÃO PERMANENTE – ENUNCIADOS 53, DO CONSELHO SUPERIOR DO MINISTÉRIO PÚBLICO DE MINAS GERAIS</w:t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1.1. No prazo de até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60 (sessenta) dias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, contados desta data, o (a) (s) compromissário (a) (s) se compromete (m) a apresentar mapa, Laudo Técnico, com ART – Anotação de Responsável Técnica e anexos fotográficos da (s) propriedades rural (is), cuja (s) matrícula (s) está (ão) acima indicada (s), os quais comprovem o estado de conservação das áreas de reserva legal e das áreas de preservação permanente, na forma do Enunciado 53, do Conselho Superior do Ministério Público de Minas Gerais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vertAlign w:val="superscript"/>
          <w:lang w:val="pt-BR"/>
        </w:rPr>
        <w:t>2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.</w:t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 xml:space="preserve">1.2. No prazo de até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60 (sessenta) dias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, contados desta data, o (a) (s) compromissário (a) (s) se compromete (m) a apresentar licença ambiental válida e regular de todas as atividades desenvolvidas no (s) imóvel (is) rural (is), cuja (s) matrícula (s) está (ão) acima indicada (s), bem como apresentar o cadastro ou outorga para o uso dos recursos hídricos.</w:t>
      </w:r>
    </w:p>
    <w:p>
      <w:pPr>
        <w:pStyle w:val="Normal"/>
        <w:bidi w:val="0"/>
        <w:spacing w:lineRule="auto" w:line="240"/>
        <w:ind w:firstLine="1701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Recuodecorpodetexto22"/>
        <w:bidi w:val="0"/>
        <w:spacing w:lineRule="auto" w:line="240" w:beforeAutospacing="0" w:before="0" w:afterAutospacing="0" w:after="0"/>
        <w:ind w:left="0" w:right="0" w:firstLine="1701"/>
        <w:jc w:val="both"/>
        <w:rPr>
          <w:rFonts w:ascii="Arial" w:hAnsi="Arial" w:eastAsia="Arial" w:cs="Arial"/>
          <w:b/>
          <w:b/>
          <w:bCs/>
          <w:caps/>
          <w:sz w:val="23"/>
          <w:szCs w:val="23"/>
        </w:rPr>
      </w:pPr>
      <w:r>
        <w:rPr>
          <w:rFonts w:eastAsia="Arial" w:cs="Arial"/>
          <w:b/>
          <w:bCs/>
          <w:caps/>
          <w:sz w:val="23"/>
          <w:szCs w:val="23"/>
        </w:rPr>
        <w:t>2. Da MEDIDA COMPENSATÓRIA:</w:t>
      </w:r>
    </w:p>
    <w:p>
      <w:pPr>
        <w:pStyle w:val="Normal"/>
        <w:spacing w:lineRule="auto" w:line="240"/>
        <w:ind w:firstLine="1701"/>
        <w:jc w:val="both"/>
        <w:rPr>
          <w:rFonts w:ascii="Arial" w:hAnsi="Arial" w:eastAsia="Arial" w:cs="Arial"/>
          <w:b/>
          <w:b/>
          <w:bCs/>
          <w:caps/>
          <w:sz w:val="23"/>
          <w:szCs w:val="23"/>
        </w:rPr>
      </w:pPr>
      <w:r>
        <w:rPr>
          <w:rFonts w:eastAsia="Arial" w:cs="Arial" w:ascii="Arial" w:hAnsi="Arial"/>
          <w:b/>
          <w:bCs/>
          <w:caps/>
          <w:sz w:val="23"/>
          <w:szCs w:val="23"/>
        </w:rPr>
      </w:r>
    </w:p>
    <w:p>
      <w:pPr>
        <w:pStyle w:val="Normal"/>
        <w:shd w:val="clear" w:color="auto" w:fill="FFFFFF" w:themeFill="background1"/>
        <w:spacing w:lineRule="auto" w:line="240"/>
        <w:ind w:firstLine="1701"/>
        <w:jc w:val="both"/>
        <w:rPr>
          <w:rFonts w:ascii="Arial" w:hAnsi="Arial" w:eastAsia="Arial" w:cs="Arial"/>
          <w:color w:val="000000" w:themeColor="text1" w:themeShade="ff" w:themeTint="ff"/>
          <w:sz w:val="23"/>
          <w:szCs w:val="23"/>
        </w:rPr>
      </w:pP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 xml:space="preserve">2.1.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  <w:u w:val="single"/>
        </w:rPr>
        <w:t>Sobre a compensação ambiental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 xml:space="preserve">, o (a) (s) compromissário (a) (s) se compromete(m) à indenização a título de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  <w:t>medida compensatória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 xml:space="preserve"> decorrente de eventuais danos </w:t>
      </w:r>
      <w:r>
        <w:rPr>
          <w:rFonts w:eastAsia="Arial" w:cs="Arial" w:ascii="Arial" w:hAnsi="Arial"/>
          <w:i/>
          <w:iCs/>
          <w:color w:val="000000" w:themeColor="text1" w:themeShade="ff" w:themeTint="ff"/>
          <w:sz w:val="23"/>
          <w:szCs w:val="23"/>
        </w:rPr>
        <w:t>in situ</w:t>
      </w:r>
      <w:r>
        <w:rPr>
          <w:rFonts w:eastAsia="Arial" w:cs="Arial" w:ascii="Arial" w:hAnsi="Arial"/>
          <w:b/>
          <w:bCs/>
          <w:i/>
          <w:iCs/>
          <w:color w:val="000000" w:themeColor="text1" w:themeShade="ff" w:themeTint="ff"/>
          <w:sz w:val="23"/>
          <w:szCs w:val="23"/>
        </w:rPr>
        <w:t xml:space="preserve">, 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>intercorrentes, lucro ilícito e morais coletivos, na forma do Enunciado 50, do Conselho Superior do Ministério Público de Minas Gerais, a pagar o valor d</w:t>
      </w:r>
      <w:r>
        <w:rPr>
          <w:rFonts w:eastAsia="Arial" w:cs="Arial" w:ascii="Arial" w:hAnsi="Arial"/>
          <w:sz w:val="23"/>
          <w:szCs w:val="23"/>
        </w:rPr>
        <w:t xml:space="preserve">e </w:t>
      </w:r>
      <w:r>
        <w:rPr>
          <w:rFonts w:eastAsia="Arial" w:cs="Arial" w:ascii="Arial" w:hAnsi="Arial"/>
          <w:b/>
          <w:bCs/>
          <w:sz w:val="23"/>
          <w:szCs w:val="23"/>
          <w:u w:val="single"/>
        </w:rPr>
        <w:t>R$ 65.000,00 (sessenta e cinco mil reais), em 15 (quinze) parcelas de R$ 4.333,33 (quatro mil trezentos e trinta e três reais e trinta e três centavos), cada</w:t>
      </w:r>
      <w:r>
        <w:rPr>
          <w:rFonts w:eastAsia="Arial" w:cs="Arial" w:ascii="Arial" w:hAnsi="Arial"/>
          <w:b/>
          <w:bCs/>
          <w:sz w:val="23"/>
          <w:szCs w:val="23"/>
          <w:u w:val="none"/>
        </w:rPr>
        <w:t xml:space="preserve">, com a primeira a vencer em 25/07/2021 e as demais no mesmo dia dos meses imediatamente subsequentes, até integralização valor total compensatório,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  <w:t>devendo juntar (em)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 xml:space="preserve">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  <w:t xml:space="preserve">comprovante (s) respectivo (s) nestes autos, mês a mês,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  <w:u w:val="single"/>
        </w:rPr>
        <w:t>em até no máximo 05 (cinco) dias, após o (s) pagamento (s)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  <w:t>, na Promotoria de Justiça de origem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 xml:space="preserve">, facultado o envio eletrônico (por e-mail: </w:t>
      </w: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  <w:t>pjtupaciguara@mpmg.mp.br</w:t>
      </w:r>
      <w:r>
        <w:rPr>
          <w:rFonts w:eastAsia="Arial" w:cs="Arial" w:ascii="Arial" w:hAnsi="Arial"/>
          <w:color w:val="000000" w:themeColor="text1" w:themeShade="ff" w:themeTint="ff"/>
          <w:sz w:val="23"/>
          <w:szCs w:val="23"/>
        </w:rPr>
        <w:t>) ou pelos Correios.</w:t>
      </w:r>
    </w:p>
    <w:p>
      <w:pPr>
        <w:pStyle w:val="Normal"/>
        <w:shd w:val="clear" w:color="auto" w:fill="FFFFFF" w:themeFill="background1"/>
        <w:spacing w:lineRule="auto" w:line="240"/>
        <w:ind w:firstLine="1701"/>
        <w:jc w:val="both"/>
        <w:rPr>
          <w:rFonts w:ascii="Arial" w:hAnsi="Arial" w:eastAsia="Arial" w:cs="Arial"/>
          <w:b/>
          <w:b/>
          <w:bCs/>
          <w:sz w:val="23"/>
          <w:szCs w:val="23"/>
          <w:u w:val="single"/>
          <w:lang w:val="pt-BR"/>
        </w:rPr>
      </w:pPr>
      <w:r>
        <w:rPr>
          <w:rFonts w:eastAsia="Arial" w:cs="Arial" w:ascii="Arial" w:hAnsi="Arial"/>
          <w:sz w:val="23"/>
          <w:szCs w:val="23"/>
          <w:lang w:val="pt-BR"/>
        </w:rPr>
        <w:t xml:space="preserve">Parágrafo único: Na forma acima, a medida compensatória será revertida em favor do </w:t>
      </w:r>
      <w:r>
        <w:rPr>
          <w:rFonts w:eastAsia="Arial" w:cs="Arial" w:ascii="Arial" w:hAnsi="Arial"/>
          <w:b/>
          <w:bCs/>
          <w:sz w:val="23"/>
          <w:szCs w:val="23"/>
          <w:lang w:val="pt-BR"/>
        </w:rPr>
        <w:t>NIEA/TM AP Núcleo Interdisciplinar de Estudos e Ações Ambientais do Triângulo Mineiro e Alto Paranaíba</w:t>
      </w:r>
      <w:r>
        <w:rPr>
          <w:rFonts w:eastAsia="Arial" w:cs="Arial" w:ascii="Arial" w:hAnsi="Arial"/>
          <w:sz w:val="23"/>
          <w:szCs w:val="23"/>
          <w:lang w:val="pt-BR"/>
        </w:rPr>
        <w:t xml:space="preserve">, com depósito à </w:t>
      </w:r>
      <w:r>
        <w:rPr>
          <w:rFonts w:eastAsia="Arial" w:cs="Arial" w:ascii="Arial" w:hAnsi="Arial"/>
          <w:b/>
          <w:bCs/>
          <w:sz w:val="23"/>
          <w:szCs w:val="23"/>
          <w:lang w:val="pt-BR"/>
        </w:rPr>
        <w:t xml:space="preserve">UFTM Universidade Federal do Triângulo Mineiro, junto ao Banco do Brasil S/A, Agência 0015-9, conta corrente 405.502-0 (FUNEPU/UFTM/MP), </w:t>
      </w:r>
      <w:r>
        <w:rPr>
          <w:rFonts w:eastAsia="Arial" w:cs="Arial" w:ascii="Arial" w:hAnsi="Arial"/>
          <w:b/>
          <w:bCs/>
          <w:sz w:val="23"/>
          <w:szCs w:val="23"/>
          <w:u w:val="single"/>
          <w:lang w:val="pt-BR"/>
        </w:rPr>
        <w:t>mediante depósito bancário identificado (CNPJ 20.054.326/0001 09).</w:t>
      </w:r>
    </w:p>
    <w:p>
      <w:pPr>
        <w:pStyle w:val="Normal"/>
        <w:shd w:val="clear" w:color="auto" w:fill="FFFFFF" w:themeFill="background1"/>
        <w:spacing w:lineRule="auto" w:line="240"/>
        <w:ind w:firstLine="1701"/>
        <w:jc w:val="both"/>
        <w:rPr>
          <w:rFonts w:ascii="Arial" w:hAnsi="Arial" w:eastAsia="Arial" w:cs="Arial"/>
          <w:b/>
          <w:b/>
          <w:bCs/>
          <w:color w:val="000000" w:themeColor="text1" w:themeShade="ff" w:themeTint="ff"/>
          <w:sz w:val="23"/>
          <w:szCs w:val="23"/>
        </w:rPr>
      </w:pPr>
      <w:r>
        <w:rPr>
          <w:rFonts w:eastAsia="Arial" w:cs="Arial" w:ascii="Arial" w:hAnsi="Arial"/>
          <w:b/>
          <w:bCs/>
          <w:color w:val="000000" w:themeColor="text1" w:themeShade="ff" w:themeTint="ff"/>
          <w:sz w:val="23"/>
          <w:szCs w:val="23"/>
        </w:rPr>
      </w:r>
    </w:p>
    <w:p>
      <w:pPr>
        <w:pStyle w:val="Normal"/>
        <w:shd w:val="clear" w:color="auto" w:fill="FFFFFF" w:themeFill="background1"/>
        <w:spacing w:lineRule="auto" w:line="240"/>
        <w:ind w:firstLine="1701"/>
        <w:jc w:val="both"/>
        <w:rPr>
          <w:rFonts w:ascii="Arial" w:hAnsi="Arial" w:eastAsia="Arial" w:cs="Arial"/>
          <w:b/>
          <w:b/>
          <w:bCs/>
          <w:cap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  <w:t xml:space="preserve">3. </w:t>
      </w:r>
      <w:r>
        <w:rPr>
          <w:rFonts w:eastAsia="Arial" w:cs="Arial" w:ascii="Arial" w:hAnsi="Arial"/>
          <w:b/>
          <w:bCs/>
          <w:caps/>
          <w:sz w:val="23"/>
          <w:szCs w:val="23"/>
        </w:rPr>
        <w:t>Da multa moratória</w:t>
      </w:r>
    </w:p>
    <w:p>
      <w:pPr>
        <w:pStyle w:val="Normal"/>
        <w:spacing w:lineRule="auto" w:line="240"/>
        <w:ind w:firstLine="1701"/>
        <w:jc w:val="both"/>
        <w:rPr>
          <w:rFonts w:ascii="Arial" w:hAnsi="Arial" w:eastAsia="Arial" w:cs="Arial"/>
          <w:b/>
          <w:b/>
          <w:bCs/>
          <w:caps/>
          <w:sz w:val="23"/>
          <w:szCs w:val="23"/>
        </w:rPr>
      </w:pPr>
      <w:r>
        <w:rPr>
          <w:rFonts w:eastAsia="Arial" w:cs="Arial" w:ascii="Arial" w:hAnsi="Arial"/>
          <w:b/>
          <w:bCs/>
          <w:caps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3.1. O descumprimento pelo (a) (s) compromissário (a) (s) de </w:t>
      </w:r>
      <w:r>
        <w:rPr>
          <w:rFonts w:eastAsia="Arial" w:cs="Arial" w:ascii="Arial" w:hAnsi="Arial"/>
          <w:sz w:val="23"/>
          <w:szCs w:val="23"/>
          <w:u w:val="single"/>
        </w:rPr>
        <w:t>cada uma das obrigações acordadas</w:t>
      </w:r>
      <w:r>
        <w:rPr>
          <w:rFonts w:eastAsia="Arial" w:cs="Arial" w:ascii="Arial" w:hAnsi="Arial"/>
          <w:sz w:val="23"/>
          <w:szCs w:val="23"/>
        </w:rPr>
        <w:t xml:space="preserve"> ensejará a imposição de multa moratória </w:t>
      </w:r>
      <w:r>
        <w:rPr>
          <w:rFonts w:eastAsia="Arial" w:cs="Arial" w:ascii="Arial" w:hAnsi="Arial"/>
          <w:sz w:val="23"/>
          <w:szCs w:val="23"/>
          <w:u w:val="single"/>
        </w:rPr>
        <w:t>diária,</w:t>
      </w:r>
      <w:r>
        <w:rPr>
          <w:rFonts w:eastAsia="Arial" w:cs="Arial" w:ascii="Arial" w:hAnsi="Arial"/>
          <w:sz w:val="23"/>
          <w:szCs w:val="23"/>
        </w:rPr>
        <w:t xml:space="preserve"> no valor de R$ 500,00 (quinhentos reais), de </w:t>
      </w:r>
      <w:r>
        <w:rPr>
          <w:rFonts w:eastAsia="Arial" w:cs="Arial" w:ascii="Arial" w:hAnsi="Arial"/>
          <w:sz w:val="23"/>
          <w:szCs w:val="23"/>
          <w:u w:val="single"/>
        </w:rPr>
        <w:t>forma solidária</w:t>
      </w:r>
      <w:r>
        <w:rPr>
          <w:rFonts w:eastAsia="Arial" w:cs="Arial" w:ascii="Arial" w:hAnsi="Arial"/>
          <w:sz w:val="23"/>
          <w:szCs w:val="23"/>
        </w:rPr>
        <w:t xml:space="preserve">, que será revertida ao </w:t>
      </w:r>
      <w:r>
        <w:rPr>
          <w:rFonts w:eastAsia="Arial" w:cs="Arial" w:ascii="Arial" w:hAnsi="Arial"/>
          <w:sz w:val="23"/>
          <w:szCs w:val="23"/>
          <w:u w:val="single"/>
        </w:rPr>
        <w:t>FUNEMP – Fundo Especial do Ministério Público</w:t>
      </w:r>
      <w:r>
        <w:rPr>
          <w:rFonts w:eastAsia="Arial" w:cs="Arial" w:ascii="Arial" w:hAnsi="Arial"/>
          <w:sz w:val="23"/>
          <w:szCs w:val="23"/>
        </w:rPr>
        <w:t xml:space="preserve"> – CNPJ 20.971.057/0001-45 – a ser depositada no </w:t>
      </w:r>
      <w:r>
        <w:rPr>
          <w:rFonts w:eastAsia="Arial" w:cs="Arial" w:ascii="Arial" w:hAnsi="Arial"/>
          <w:b/>
          <w:bCs/>
          <w:sz w:val="23"/>
          <w:szCs w:val="23"/>
        </w:rPr>
        <w:t>Banco do Brasil S.A., agência 1615-2, conta corrente nº. 6167-0</w:t>
      </w:r>
      <w:r>
        <w:rPr>
          <w:rFonts w:eastAsia="Arial" w:cs="Arial" w:ascii="Arial" w:hAnsi="Arial"/>
          <w:sz w:val="23"/>
          <w:szCs w:val="23"/>
        </w:rPr>
        <w:t xml:space="preserve">, </w:t>
      </w:r>
      <w:r>
        <w:rPr>
          <w:rFonts w:eastAsia="Arial" w:cs="Arial" w:ascii="Arial" w:hAnsi="Arial"/>
          <w:sz w:val="23"/>
          <w:szCs w:val="23"/>
          <w:u w:val="single"/>
        </w:rPr>
        <w:t>através de depósito identificado</w:t>
      </w:r>
      <w:r>
        <w:rPr>
          <w:rFonts w:eastAsia="Arial" w:cs="Arial" w:ascii="Arial" w:hAnsi="Arial"/>
          <w:sz w:val="23"/>
          <w:szCs w:val="23"/>
        </w:rPr>
        <w:t xml:space="preserve">, além de correção monetária e juros de 1% ao mês ou </w:t>
      </w:r>
      <w:r>
        <w:rPr>
          <w:rFonts w:eastAsia="Arial" w:cs="Arial" w:ascii="Arial" w:hAnsi="Arial"/>
          <w:b/>
          <w:bCs/>
          <w:sz w:val="23"/>
          <w:szCs w:val="23"/>
        </w:rPr>
        <w:t>outra destinação a cargo do Órgão de Execução do Ministério Público Oficiante</w:t>
      </w:r>
      <w:r>
        <w:rPr>
          <w:rFonts w:eastAsia="Arial" w:cs="Arial" w:ascii="Arial" w:hAnsi="Arial"/>
          <w:sz w:val="23"/>
          <w:szCs w:val="23"/>
        </w:rPr>
        <w:t>;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3.2. A multa moratória acima estipulada será exigida independentemente de interpelação judicial ou extrajudicial, estando o (a) (s) compromissário (a) (s) constituído (a) (s) em mora com o </w:t>
      </w:r>
      <w:r>
        <w:rPr>
          <w:rFonts w:eastAsia="Arial" w:cs="Arial" w:ascii="Arial" w:hAnsi="Arial"/>
          <w:b/>
          <w:bCs/>
          <w:sz w:val="23"/>
          <w:szCs w:val="23"/>
        </w:rPr>
        <w:t>simples vencimento dos prazos e condições fixados</w:t>
      </w:r>
      <w:r>
        <w:rPr>
          <w:rFonts w:eastAsia="Arial" w:cs="Arial" w:ascii="Arial" w:hAnsi="Arial"/>
          <w:sz w:val="23"/>
          <w:szCs w:val="23"/>
        </w:rPr>
        <w:t>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3.3. A multa moratória acima referida será aplicada em face de </w:t>
      </w:r>
      <w:r>
        <w:rPr>
          <w:rFonts w:eastAsia="Arial" w:cs="Arial" w:ascii="Arial" w:hAnsi="Arial"/>
          <w:b/>
          <w:bCs/>
          <w:sz w:val="23"/>
          <w:szCs w:val="23"/>
        </w:rPr>
        <w:t>atraso na prestação ou descumprimento desta</w:t>
      </w:r>
      <w:r>
        <w:rPr>
          <w:rFonts w:eastAsia="Arial" w:cs="Arial" w:ascii="Arial" w:hAnsi="Arial"/>
          <w:sz w:val="23"/>
          <w:szCs w:val="23"/>
        </w:rPr>
        <w:t xml:space="preserve">, </w:t>
      </w:r>
      <w:r>
        <w:rPr>
          <w:rFonts w:eastAsia="Arial" w:cs="Arial" w:ascii="Arial" w:hAnsi="Arial"/>
          <w:sz w:val="23"/>
          <w:szCs w:val="23"/>
          <w:u w:val="single"/>
        </w:rPr>
        <w:t>não importando exoneração da (s) obrigação (ões)</w:t>
      </w:r>
      <w:r>
        <w:rPr>
          <w:rFonts w:eastAsia="Arial" w:cs="Arial" w:ascii="Arial" w:hAnsi="Arial"/>
          <w:sz w:val="23"/>
          <w:szCs w:val="23"/>
        </w:rPr>
        <w:t xml:space="preserve"> assumida(s) pelo(a)(s) compromissário (a) (s).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sz w:val="23"/>
          <w:szCs w:val="23"/>
          <w:u w:val="single"/>
        </w:rPr>
      </w:pPr>
      <w:r>
        <w:rPr>
          <w:rFonts w:eastAsia="Arial" w:cs="Arial" w:ascii="Arial" w:hAnsi="Arial"/>
          <w:sz w:val="23"/>
          <w:szCs w:val="23"/>
        </w:rPr>
        <w:t xml:space="preserve">3.4. </w:t>
      </w:r>
      <w:r>
        <w:rPr>
          <w:rFonts w:eastAsia="Arial" w:cs="Arial" w:ascii="Arial" w:hAnsi="Arial"/>
          <w:b/>
          <w:bCs/>
          <w:sz w:val="23"/>
          <w:szCs w:val="23"/>
        </w:rPr>
        <w:t xml:space="preserve">Não se computam nos prazos acordados os atrasos decorrentes de culpa exclusiva de terceiros ou derivados de casos fortuitos e de força maior, estes últimos definidos na Lei Civil, </w:t>
      </w:r>
      <w:r>
        <w:rPr>
          <w:rFonts w:eastAsia="Arial" w:cs="Arial" w:ascii="Arial" w:hAnsi="Arial"/>
          <w:b/>
          <w:bCs/>
          <w:sz w:val="23"/>
          <w:szCs w:val="23"/>
          <w:u w:val="single"/>
        </w:rPr>
        <w:t>ficando o compromissário (a) (s) obrigado (a) (s), ocorrendo tais eventos, a prová-los no presente feito.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cap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  <w:t xml:space="preserve">4. </w:t>
      </w:r>
      <w:r>
        <w:rPr>
          <w:rFonts w:eastAsia="Arial" w:cs="Arial" w:ascii="Arial" w:hAnsi="Arial"/>
          <w:b/>
          <w:bCs/>
          <w:caps/>
          <w:sz w:val="23"/>
          <w:szCs w:val="23"/>
        </w:rPr>
        <w:t>Das cláusulas gerais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caps/>
          <w:color w:val="000000"/>
          <w:sz w:val="23"/>
          <w:szCs w:val="23"/>
        </w:rPr>
      </w:pPr>
      <w:r>
        <w:rPr>
          <w:rFonts w:eastAsia="Arial" w:cs="Arial" w:ascii="Arial" w:hAnsi="Arial"/>
          <w:caps/>
          <w:color w:val="000000"/>
          <w:sz w:val="23"/>
          <w:szCs w:val="23"/>
        </w:rPr>
      </w:r>
    </w:p>
    <w:p>
      <w:pPr>
        <w:pStyle w:val="Normal"/>
        <w:shd w:val="clear" w:color="auto" w:fill="FFFFFF" w:themeFill="background1"/>
        <w:spacing w:lineRule="auto" w:line="240"/>
        <w:ind w:firstLine="1701"/>
        <w:jc w:val="both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4.1. A celebração do presente compromisso </w:t>
      </w:r>
      <w:r>
        <w:rPr>
          <w:rFonts w:eastAsia="Arial" w:cs="Arial" w:ascii="Arial" w:hAnsi="Arial"/>
          <w:b/>
          <w:bCs/>
          <w:sz w:val="23"/>
          <w:szCs w:val="23"/>
          <w:u w:val="single"/>
        </w:rPr>
        <w:t>não exime</w:t>
      </w:r>
      <w:r>
        <w:rPr>
          <w:rFonts w:eastAsia="Arial" w:cs="Arial" w:ascii="Arial" w:hAnsi="Arial"/>
          <w:sz w:val="23"/>
          <w:szCs w:val="23"/>
        </w:rPr>
        <w:t xml:space="preserve"> o (a) (s) compromissário (a) (s) da (s) responsabilidade (s) decorrente (s) de quaisquer fiscalizações ambientais na (s) propriedade (s) rural (is).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4.2. As partes podem celebrar aditivos desde que a novação importe em notável ganho ambiental.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4.3. </w:t>
      </w:r>
      <w:r>
        <w:rPr>
          <w:rFonts w:eastAsia="Arial" w:cs="Arial" w:ascii="Arial" w:hAnsi="Arial"/>
          <w:b/>
          <w:bCs/>
          <w:sz w:val="23"/>
          <w:szCs w:val="23"/>
        </w:rPr>
        <w:t>As obrigações aqui assumidas não prejudicam ou excluem quaisquer direitos ou mesmo impedem o regular poder de polícia administrativa ambiental dos demais órgãos públicos e tampouco substituem licenças, alvarás e quaisquer outras exigências emanadas do poder público competente.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4.4. </w:t>
      </w:r>
      <w:r>
        <w:rPr>
          <w:rFonts w:eastAsia="Arial" w:cs="Arial" w:ascii="Arial" w:hAnsi="Arial"/>
          <w:b/>
          <w:bCs/>
          <w:sz w:val="23"/>
          <w:szCs w:val="23"/>
        </w:rPr>
        <w:t>As obrigações aqui assumidas não alteram ou substituem eventuais obrigações impostas como condicionantes de eventuais licenças ambientais já concedidas.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4.5. Este compromisso, </w:t>
      </w:r>
      <w:r>
        <w:rPr>
          <w:rFonts w:eastAsia="Arial" w:cs="Arial" w:ascii="Arial" w:hAnsi="Arial"/>
          <w:sz w:val="23"/>
          <w:szCs w:val="23"/>
          <w:u w:val="single"/>
        </w:rPr>
        <w:t>ato jurídico perfeito</w:t>
      </w:r>
      <w:r>
        <w:rPr>
          <w:rFonts w:eastAsia="Arial" w:cs="Arial" w:ascii="Arial" w:hAnsi="Arial"/>
          <w:sz w:val="23"/>
          <w:szCs w:val="23"/>
        </w:rPr>
        <w:t xml:space="preserve">, produzirá efeitos legais a partir da sua assinatura e terá força de </w:t>
      </w:r>
      <w:r>
        <w:rPr>
          <w:rFonts w:eastAsia="Arial" w:cs="Arial" w:ascii="Arial" w:hAnsi="Arial"/>
          <w:b/>
          <w:bCs/>
          <w:sz w:val="23"/>
          <w:szCs w:val="23"/>
        </w:rPr>
        <w:t>título executivo extrajudicial</w:t>
      </w:r>
      <w:r>
        <w:rPr>
          <w:rFonts w:eastAsia="Arial" w:cs="Arial" w:ascii="Arial" w:hAnsi="Arial"/>
          <w:sz w:val="23"/>
          <w:szCs w:val="23"/>
        </w:rPr>
        <w:t>, na forma do Art. 5</w:t>
      </w:r>
      <w:r>
        <w:rPr>
          <w:rFonts w:eastAsia="Arial" w:cs="Arial" w:ascii="Arial" w:hAnsi="Arial"/>
          <w:sz w:val="23"/>
          <w:szCs w:val="23"/>
          <w:vertAlign w:val="superscript"/>
        </w:rPr>
        <w:t>o</w:t>
      </w:r>
      <w:r>
        <w:rPr>
          <w:rFonts w:eastAsia="Arial" w:cs="Arial" w:ascii="Arial" w:hAnsi="Arial"/>
          <w:sz w:val="23"/>
          <w:szCs w:val="23"/>
        </w:rPr>
        <w:t>, §6</w:t>
      </w:r>
      <w:r>
        <w:rPr>
          <w:rFonts w:eastAsia="Arial" w:cs="Arial" w:ascii="Arial" w:hAnsi="Arial"/>
          <w:sz w:val="23"/>
          <w:szCs w:val="23"/>
          <w:vertAlign w:val="superscript"/>
        </w:rPr>
        <w:t>o</w:t>
      </w:r>
      <w:r>
        <w:rPr>
          <w:rFonts w:eastAsia="Arial" w:cs="Arial" w:ascii="Arial" w:hAnsi="Arial"/>
          <w:sz w:val="23"/>
          <w:szCs w:val="23"/>
        </w:rPr>
        <w:t xml:space="preserve">, da Lei Federal 7.347/85, </w:t>
      </w:r>
      <w:r>
        <w:rPr>
          <w:rFonts w:eastAsia="Arial" w:cs="Arial" w:ascii="Arial" w:hAnsi="Arial"/>
          <w:b/>
          <w:bCs/>
          <w:sz w:val="23"/>
          <w:szCs w:val="23"/>
        </w:rPr>
        <w:t>ensejando, em caso de descumprimento total ou parcial, a sua execução judicial.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4.6. O (a) (s) compromissário (a) (s) arcará (ão) com todas as despesas necessárias para fiscalização do fiel cumprimento da presente avença, inclusive o ressarcimento de perícias, vistorias, custas, honorários e demais providências necessárias.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4.7. As obrigações aqui assumidas são consideradas como de relevante valor ambiental para todos os fins previstos em Direito e adimplidas as obrigações o presente inquérito civil receberá promoção de arquivamento.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4.8. Em caso de execução do presente título, fica invertido o ônus da prova em desfavor do (a) (s) compromissário (a) (s).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4.9. Fica eleito o foro da Comarca de Tupaciguara/MG para dirimir quaisquer questões relativas ao presente.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E por estarem de acordo, firmam o presente.</w:t>
      </w:r>
    </w:p>
    <w:p>
      <w:pPr>
        <w:pStyle w:val="Corpodetexto21"/>
        <w:spacing w:lineRule="auto" w:line="240"/>
        <w:ind w:firstLine="1701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Tupaciguara/MG, 1º de julho de 2021.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bidi w:val="0"/>
        <w:spacing w:lineRule="auto" w:line="240" w:beforeAutospacing="0" w:before="0" w:afterAutospacing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  <w:t>CARLOS ALBERTO VALERA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Promotor de Justiça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>Coordenador Regional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sz w:val="23"/>
          <w:szCs w:val="23"/>
        </w:rPr>
        <w:t xml:space="preserve">P.p. </w:t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FLÁVIO PEREIRA MONTES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OAB/MG 82.714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/>
          <w:b/>
          <w:bCs/>
          <w:sz w:val="23"/>
          <w:szCs w:val="23"/>
        </w:rPr>
      </w:pPr>
      <w:r>
        <w:rPr>
          <w:rFonts w:eastAsia="Arial" w:cs="Arial" w:ascii="Arial" w:hAnsi="Arial"/>
          <w:b/>
          <w:bCs/>
          <w:sz w:val="23"/>
          <w:szCs w:val="23"/>
        </w:rPr>
        <w:t>______________________________________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sz w:val="23"/>
          <w:szCs w:val="23"/>
        </w:rPr>
        <w:t>LUIZ ANTÔNIO MEIRELES VASCONCELOS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Compromissário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SERGIO LEAL DE SOUZA</w:t>
      </w:r>
    </w:p>
    <w:p>
      <w:pPr>
        <w:pStyle w:val="Corpodetexto21"/>
        <w:spacing w:lineRule="auto" w:line="24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3"/>
          <w:szCs w:val="23"/>
          <w:lang w:val="pt-BR"/>
        </w:rPr>
        <w:t>Gerente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normal"/>
      <w:tblW w:w="883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8570"/>
      <w:gridCol w:w="264"/>
    </w:tblGrid>
    <w:tr>
      <w:trPr>
        <w:trHeight w:val="990" w:hRule="atLeast"/>
      </w:trPr>
      <w:tc>
        <w:tcPr>
          <w:tcW w:w="8570" w:type="dxa"/>
          <w:tcBorders/>
        </w:tcPr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0"/>
              <w:szCs w:val="20"/>
            </w:rPr>
          </w:pPr>
          <w:r>
            <w:rPr>
              <w:kern w:val="0"/>
              <w:lang w:val="pt-BR" w:bidi="ar-SA"/>
            </w:rPr>
            <w:br/>
          </w:r>
          <w:r>
            <w:rPr>
              <w:rFonts w:eastAsia="Calibri" w:cs="Calibri" w:ascii="Calibri" w:hAnsi="Calibri"/>
              <w:b w:val="false"/>
              <w:bCs w:val="false"/>
              <w:i w:val="false"/>
              <w:iCs w:val="false"/>
              <w:color w:val="000000" w:themeColor="text1" w:themeShade="ff" w:themeTint="ff"/>
              <w:kern w:val="0"/>
              <w:sz w:val="20"/>
              <w:szCs w:val="20"/>
              <w:lang w:val="pt-BR" w:bidi="ar-SA"/>
            </w:rPr>
            <w:t>Rua Coronel Antônio Rios, nº 951. Bairro Santa Marta. Uberaba/MG. CEP: 38.061-150</w:t>
          </w:r>
        </w:p>
        <w:p>
          <w:pPr>
            <w:pStyle w:val="Cabealho"/>
            <w:widowControl/>
            <w:tabs>
              <w:tab w:val="center" w:pos="4419" w:leader="none"/>
              <w:tab w:val="center" w:pos="4680" w:leader="none"/>
              <w:tab w:val="right" w:pos="8838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0"/>
              <w:szCs w:val="20"/>
            </w:rPr>
          </w:pPr>
          <w:r>
            <w:rPr>
              <w:rFonts w:eastAsia="Calibri" w:cs="Calibri" w:ascii="Calibri" w:hAnsi="Calibri"/>
              <w:b w:val="false"/>
              <w:bCs w:val="false"/>
              <w:i w:val="false"/>
              <w:iCs w:val="false"/>
              <w:color w:val="000000" w:themeColor="text1" w:themeShade="ff" w:themeTint="ff"/>
              <w:kern w:val="0"/>
              <w:sz w:val="20"/>
              <w:szCs w:val="20"/>
              <w:lang w:val="pt-BR" w:bidi="ar-SA"/>
            </w:rPr>
            <w:t xml:space="preserve">Telefones: (34) 3332-0268 e (34) 3322-2468.  E-mail: </w:t>
          </w:r>
          <w:hyperlink r:id="rId1">
            <w:r>
              <w:rPr>
                <w:rStyle w:val="LinkdaInternet"/>
                <w:rFonts w:eastAsia="Calibri" w:cs="Calibri" w:ascii="Calibri" w:hAnsi="Calibri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pt-BR" w:bidi="ar-SA"/>
              </w:rPr>
              <w:t>crpbriogrande@mpmg.mp.br</w:t>
            </w:r>
          </w:hyperlink>
          <w:r>
            <w:rPr>
              <w:rFonts w:eastAsia="Calibri" w:cs="Calibri" w:ascii="Calibri" w:hAnsi="Calibri"/>
              <w:b w:val="false"/>
              <w:bCs w:val="false"/>
              <w:i w:val="false"/>
              <w:iCs w:val="false"/>
              <w:color w:val="000000" w:themeColor="text1" w:themeShade="ff" w:themeTint="ff"/>
              <w:kern w:val="0"/>
              <w:sz w:val="20"/>
              <w:szCs w:val="20"/>
              <w:lang w:val="pt-BR" w:bidi="ar-SA"/>
            </w:rPr>
            <w:t xml:space="preserve">. </w:t>
          </w:r>
          <w:r>
            <w:rPr>
              <w:rStyle w:val="LinkdaInternet"/>
              <w:rFonts w:eastAsia="Calibri" w:cs="Calibri" w:ascii="Calibri" w:hAnsi="Calibri"/>
              <w:b/>
              <w:bCs/>
              <w:i w:val="false"/>
              <w:iCs w:val="false"/>
              <w:kern w:val="0"/>
              <w:sz w:val="20"/>
              <w:szCs w:val="20"/>
              <w:lang w:val="pt-BR" w:bidi="ar-SA"/>
            </w:rPr>
            <w:t>www.mpmg.mp.br</w:t>
          </w:r>
        </w:p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rFonts w:eastAsia="Calibri" w:cs="Calibri" w:ascii="Calibri" w:hAnsi="Calibri"/>
              <w:b w:val="false"/>
              <w:bCs w:val="false"/>
              <w:i w:val="false"/>
              <w:iCs w:val="false"/>
              <w:color w:val="000000" w:themeColor="text1" w:themeShade="ff" w:themeTint="ff"/>
              <w:kern w:val="0"/>
              <w:sz w:val="22"/>
              <w:szCs w:val="22"/>
              <w:lang w:val="pt-BR" w:bidi="ar-SA"/>
            </w:rPr>
          </w:r>
        </w:p>
      </w:tc>
      <w:tc>
        <w:tcPr>
          <w:tcW w:w="264" w:type="dxa"/>
          <w:tcBorders/>
        </w:tcPr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righ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kern w:val="0"/>
              <w:lang w:val="pt-BR" w:bidi="ar-SA"/>
            </w:rPr>
            <w:drawing>
              <wp:inline distT="0" distB="0" distL="114935" distR="114935">
                <wp:extent cx="76200" cy="752475"/>
                <wp:effectExtent l="0" t="0" r="0" b="0"/>
                <wp:docPr id="3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jc w:val="center"/>
      <w:rPr>
        <w:rFonts w:ascii="Arial" w:hAnsi="Arial" w:eastAsia="Arial" w:cs="Arial"/>
        <w:b w:val="false"/>
        <w:b w:val="false"/>
        <w:bCs w:val="false"/>
        <w:i w:val="false"/>
        <w:i w:val="false"/>
        <w:iCs w:val="false"/>
        <w:sz w:val="24"/>
        <w:szCs w:val="24"/>
        <w:lang w:val="pt-BR"/>
      </w:rPr>
    </w:pPr>
    <w:r>
      <w:rPr>
        <w:rFonts w:eastAsia="Arial" w:cs="Arial" w:ascii="Arial" w:hAnsi="Arial"/>
        <w:b w:val="false"/>
        <w:bCs w:val="false"/>
        <w:i w:val="false"/>
        <w:iCs w:val="false"/>
        <w:sz w:val="24"/>
        <w:szCs w:val="24"/>
        <w:lang w:val="pt-BR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76"/>
        <w:jc w:val="both"/>
        <w:rPr/>
      </w:pPr>
      <w:r>
        <w:rPr>
          <w:rStyle w:val="Caracteresdenotaderodap"/>
        </w:rPr>
        <w:footnoteRef/>
      </w:r>
      <w:r>
        <w:rPr>
          <w:rFonts w:cs="Arial" w:ascii="Arial" w:hAnsi="Arial"/>
          <w:b/>
          <w:bCs/>
          <w:sz w:val="16"/>
          <w:szCs w:val="16"/>
        </w:rPr>
        <w:tab/>
        <w:t>ENUNCIADO Nº 50:</w:t>
      </w:r>
      <w:r>
        <w:rPr>
          <w:rFonts w:cs="Arial" w:ascii="Arial" w:hAnsi="Arial"/>
          <w:sz w:val="16"/>
          <w:szCs w:val="16"/>
        </w:rPr>
        <w:t xml:space="preserve"> “Nas demandas ambientais, conforme jurisprudência reiterada*, admite-se a imposição ao investigado ou réu de obrigações de não fazer, fazer e indenizar, simultânea e cumulativamente, considerando-se o princípio da reparação integral do dano ambiental, ainda que intercorrente, que considera os vários aspectos da lesão ao meio ambiente e orienta a interpretação dos arts. 4º, VII, 14, § 1º, da Lei n. 6.938/1981, e 3º, da Lei 7.347/85.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16"/>
          <w:szCs w:val="16"/>
        </w:rPr>
        <w:tab/>
        <w:t>*REsp 1.145.083/MG, Rel. Ministro Herman Benjamin, Segunda Turma, DJe 4.9.2012; REsp 1.178.294/MG, Rel. Ministro Mauro Campbell Marques, Segunda Turma, DJe 10.9.2010; AgRg nos EDcl no Ag 1.156.486/PR, Rel. Ministro Arnaldo Esteves Lima, Primeira Turma, DJe 27.4.2011; REsp 1.120.117/AC, Rel. Ministra Eliana Calmon, Segunda Turma, DJe 19.11.2009; REsp 1.090.968/SP, Rel. Ministro Luiz Fux, Primeira Turma, DJe 3.8.2010; REsp 605.323/MG, Rel. Ministro José Delgado, Rel. p/ Acórdão Ministro Teori Albino Zavascki, Primeira Turma, DJ 17.10.2005; REsp 625.249/PR, Rel. Ministro Luiz Fux, Primeira Turma, DJ 31.8.2006,entre outros.”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16"/>
          <w:szCs w:val="16"/>
        </w:rPr>
        <w:tab/>
        <w:t>(Aprovado, por unanimidade, na sessão conjunta (11ª e 12ª Sessões Ordinárias/2014), realizada em 14/07/2014 e publicada em 21/07/14; publicação específica no Diário Eletrônico do MP em 16/07/2014.)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normal"/>
      <w:tblW w:w="883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5313"/>
      <w:gridCol w:w="3213"/>
      <w:gridCol w:w="309"/>
    </w:tblGrid>
    <w:tr>
      <w:trPr>
        <w:trHeight w:val="1260" w:hRule="atLeast"/>
      </w:trPr>
      <w:tc>
        <w:tcPr>
          <w:tcW w:w="5313" w:type="dxa"/>
          <w:tcBorders/>
        </w:tcPr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left="-115" w:hanging="0"/>
            <w:jc w:val="lef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kern w:val="0"/>
              <w:lang w:val="pt-BR" w:bidi="ar-SA"/>
            </w:rPr>
            <w:drawing>
              <wp:inline distT="0" distB="0" distL="114935" distR="114935">
                <wp:extent cx="1876425" cy="77152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Borders/>
        </w:tcPr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rFonts w:eastAsia="Calibri" w:cs="Calibri" w:ascii="Calibri" w:hAnsi="Calibri"/>
              <w:b w:val="false"/>
              <w:bCs w:val="false"/>
              <w:i w:val="false"/>
              <w:iCs w:val="false"/>
              <w:color w:val="000000" w:themeColor="text1" w:themeShade="ff" w:themeTint="ff"/>
              <w:kern w:val="0"/>
              <w:sz w:val="22"/>
              <w:szCs w:val="22"/>
              <w:lang w:val="pt-BR" w:bidi="ar-SA"/>
            </w:rPr>
          </w:r>
        </w:p>
        <w:p>
          <w:pPr>
            <w:pStyle w:val="Cabealho"/>
            <w:widowControl/>
            <w:tabs>
              <w:tab w:val="center" w:pos="4419" w:leader="none"/>
              <w:tab w:val="center" w:pos="4680" w:leader="none"/>
              <w:tab w:val="right" w:pos="8838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0"/>
              <w:szCs w:val="20"/>
            </w:rPr>
          </w:pPr>
          <w:r>
            <w:rPr>
              <w:rFonts w:eastAsia="Calibri" w:cs="Calibri" w:ascii="Calibri" w:hAnsi="Calibri"/>
              <w:b/>
              <w:bCs/>
              <w:i w:val="false"/>
              <w:iCs w:val="false"/>
              <w:color w:val="000000" w:themeColor="text1" w:themeShade="ff" w:themeTint="ff"/>
              <w:kern w:val="0"/>
              <w:sz w:val="20"/>
              <w:szCs w:val="20"/>
              <w:lang w:val="pt-BR" w:bidi="ar-SA"/>
            </w:rPr>
            <w:t>Coordenadoria Regional das Promotorias de Justiça do Meio Ambiente das Bacias dos Rios Paranaíba e Baixo Rio Grande</w:t>
          </w:r>
        </w:p>
      </w:tc>
      <w:tc>
        <w:tcPr>
          <w:tcW w:w="309" w:type="dxa"/>
          <w:tcBorders/>
        </w:tcPr>
        <w:p>
          <w:pPr>
            <w:pStyle w:val="Normal"/>
            <w:widowControl/>
            <w:tabs>
              <w:tab w:val="clear" w:pos="709"/>
              <w:tab w:val="center" w:pos="4680" w:leader="none"/>
              <w:tab w:val="right" w:pos="9360" w:leader="none"/>
            </w:tabs>
            <w:spacing w:lineRule="auto" w:line="240" w:before="0" w:after="0"/>
            <w:ind w:left="-115" w:hanging="0"/>
            <w:jc w:val="right"/>
            <w:rPr>
              <w:rFonts w:ascii="Calibri" w:hAnsi="Calibri" w:eastAsia="Calibri" w:cs="Calibri"/>
              <w:b w:val="false"/>
              <w:b w:val="false"/>
              <w:bCs w:val="false"/>
              <w:i w:val="false"/>
              <w:i w:val="false"/>
              <w:iCs w:val="false"/>
              <w:color w:val="000000" w:themeColor="text1" w:themeShade="ff" w:themeTint="ff"/>
              <w:sz w:val="22"/>
              <w:szCs w:val="22"/>
            </w:rPr>
          </w:pPr>
          <w:r>
            <w:rPr>
              <w:kern w:val="0"/>
              <w:lang w:val="pt-BR" w:bidi="ar-SA"/>
            </w:rPr>
            <w:drawing>
              <wp:inline distT="0" distB="0" distL="114935" distR="114935">
                <wp:extent cx="76200" cy="752475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jc w:val="center"/>
      <w:rPr>
        <w:rFonts w:ascii="Arial" w:hAnsi="Arial" w:cs="Arial"/>
        <w:b/>
        <w:b/>
        <w:bCs/>
        <w:sz w:val="24"/>
        <w:szCs w:val="24"/>
      </w:rPr>
    </w:pPr>
    <w:r>
      <w:rPr>
        <w:rFonts w:cs="Arial" w:ascii="Arial" w:hAnsi="Arial"/>
        <w:b/>
        <w:bCs/>
        <w:sz w:val="24"/>
        <w:szCs w:val="24"/>
      </w:rPr>
    </w:r>
  </w:p>
  <w:p>
    <w:pPr>
      <w:pStyle w:val="Cabealho"/>
      <w:jc w:val="righ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PROMOTORIA DE JUSTIÇA DE TUPACIGUARA</w:t>
    </w:r>
  </w:p>
  <w:p>
    <w:pPr>
      <w:pStyle w:val="Cabealho"/>
      <w:jc w:val="right"/>
      <w:rPr>
        <w:rFonts w:ascii="Arial" w:hAnsi="Arial" w:cs="Arial"/>
        <w:b/>
        <w:b/>
        <w:bCs/>
        <w:sz w:val="24"/>
        <w:szCs w:val="24"/>
      </w:rPr>
    </w:pPr>
    <w:r>
      <w:rPr>
        <w:rFonts w:cs="Arial" w:ascii="Arial" w:hAnsi="Arial"/>
        <w:b/>
        <w:bCs/>
        <w:sz w:val="24"/>
        <w:szCs w:val="24"/>
      </w:rPr>
    </w:r>
  </w:p>
  <w:p>
    <w:pPr>
      <w:pStyle w:val="Cabealho"/>
      <w:jc w:val="right"/>
      <w:rPr>
        <w:rFonts w:ascii="Arial" w:hAnsi="Arial" w:cs="Arial"/>
        <w:b/>
        <w:b/>
        <w:bCs/>
        <w:sz w:val="24"/>
        <w:szCs w:val="24"/>
      </w:rPr>
    </w:pPr>
    <w:r>
      <w:rPr>
        <w:rFonts w:cs="Arial" w:ascii="Arial" w:hAnsi="Arial"/>
        <w:b/>
        <w:bCs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276" w:before="0" w:after="200"/>
      <w:outlineLvl w:val="0"/>
    </w:pPr>
    <w:rPr>
      <w:rFonts w:ascii="Calibri" w:hAnsi="Calibri" w:cs="Calibri"/>
      <w:b/>
      <w:bCs/>
      <w:i/>
      <w:iCs/>
      <w:sz w:val="22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1"/>
      <w:szCs w:val="21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3z1" w:customStyle="1">
    <w:name w:val="WW8Num3z1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Fontepargpadro1" w:customStyle="1">
    <w:name w:val="Fonte parág. padrão1"/>
    <w:qFormat/>
    <w:rPr/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LinkdaInternet">
    <w:name w:val="Link da Internet"/>
    <w:rPr>
      <w:color w:val="0000FF"/>
      <w:u w:val="single"/>
    </w:rPr>
  </w:style>
  <w:style w:type="character" w:styleId="RodapChar" w:customStyle="1">
    <w:name w:val="Rodapé Char"/>
    <w:qFormat/>
    <w:rPr>
      <w:sz w:val="24"/>
      <w:szCs w:val="24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20"/>
    </w:pPr>
    <w:rPr>
      <w:rFonts w:ascii="Calibri" w:hAnsi="Calibri" w:cs="Calibri"/>
      <w:sz w:val="22"/>
      <w:szCs w:val="22"/>
      <w:lang w:val="x-non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>
      <w:lang w:val="x-none"/>
    </w:rPr>
  </w:style>
  <w:style w:type="paragraph" w:styleId="Corpodotextorecuado" w:customStyle="1">
    <w:name w:val="Body Text Indent"/>
    <w:basedOn w:val="Normal"/>
    <w:pPr>
      <w:spacing w:lineRule="auto" w:line="360"/>
      <w:ind w:firstLine="1701"/>
    </w:pPr>
    <w:rPr>
      <w:rFonts w:ascii="Bookman Old Style" w:hAnsi="Bookman Old Style" w:cs="Bookman Old Style"/>
      <w:sz w:val="22"/>
      <w:szCs w:val="22"/>
    </w:rPr>
  </w:style>
  <w:style w:type="paragraph" w:styleId="BodyTextIndent0">
    <w:name w:val="Body Text Indent0"/>
    <w:basedOn w:val="Normal"/>
    <w:qFormat/>
    <w:pPr>
      <w:jc w:val="both"/>
    </w:pPr>
    <w:rPr>
      <w:sz w:val="28"/>
      <w:szCs w:val="28"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1701"/>
      <w:jc w:val="both"/>
    </w:pPr>
    <w:rPr>
      <w:rFonts w:ascii="Arial" w:hAnsi="Arial" w:cs="Arial"/>
    </w:rPr>
  </w:style>
  <w:style w:type="paragraph" w:styleId="Corpodetexto21" w:customStyle="1">
    <w:name w:val="Corpo de texto 21"/>
    <w:basedOn w:val="Normal"/>
    <w:qFormat/>
    <w:pPr>
      <w:jc w:val="both"/>
    </w:pPr>
    <w:rPr>
      <w:sz w:val="28"/>
      <w:szCs w:val="20"/>
    </w:rPr>
  </w:style>
  <w:style w:type="paragraph" w:styleId="Notaderodap">
    <w:name w:val="Footnote Text"/>
    <w:basedOn w:val="Normal"/>
    <w:pPr>
      <w:spacing w:lineRule="auto" w:line="276" w:before="0" w:after="200"/>
    </w:pPr>
    <w:rPr>
      <w:rFonts w:ascii="Calibri" w:hAnsi="Calibri" w:cs="Calibri"/>
      <w:sz w:val="20"/>
      <w:szCs w:val="20"/>
      <w:lang w:val="x-none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1701"/>
      <w:jc w:val="both"/>
    </w:pPr>
    <w:rPr>
      <w:rFonts w:ascii="Arial" w:hAnsi="Arial"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zh-CN" w:val="pt-BR" w:bidi="ar-SA"/>
    </w:rPr>
  </w:style>
  <w:style w:type="paragraph" w:styleId="Contedodoquadro" w:customStyle="1">
    <w:name w:val="Conteúdo do quadro"/>
    <w:basedOn w:val="Normal"/>
    <w:qFormat/>
    <w:pPr/>
    <w:rPr/>
  </w:style>
  <w:style w:type="paragraph" w:styleId="BodyTextIndent">
    <w:name w:val="Body Text Indent"/>
    <w:basedOn w:val="Corpodotexto"/>
    <w:qFormat/>
    <w:pPr>
      <w:ind w:firstLine="283"/>
    </w:pPr>
    <w:rPr/>
  </w:style>
  <w:style w:type="paragraph" w:styleId="ListNumber5">
    <w:name w:val="List Number 5"/>
    <w:basedOn w:val="Lista"/>
    <w:qFormat/>
    <w:pPr>
      <w:ind w:left="1800" w:hanging="360"/>
    </w:pPr>
    <w:rPr/>
  </w:style>
  <w:style w:type="paragraph" w:styleId="ListNumber2">
    <w:name w:val="List Number 2"/>
    <w:basedOn w:val="Lista"/>
    <w:qFormat/>
    <w:pPr>
      <w:ind w:left="720" w:hanging="3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rpbriogrande@mpmg.mp.br" TargetMode="External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2</Pages>
  <Words>1481</Words>
  <Characters>8527</Characters>
  <CharactersWithSpaces>9966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2020-05-04T20:45:00Z</dcterms:created>
  <dc:creator>Procuradoria Geral de Justiça de MG</dc:creator>
  <dc:description/>
  <dc:language>pt-BR</dc:language>
  <cp:lastModifiedBy>Alexandre Campos de Oliveira</cp:lastModifiedBy>
  <cp:lastPrinted>2016-07-27T16:34:00Z</cp:lastPrinted>
  <dcterms:modified xsi:type="dcterms:W3CDTF">2021-07-01T17:57:50Z</dcterms:modified>
  <cp:revision>42</cp:revision>
  <dc:subject/>
  <dc:title>TERMO DE AJUSTE DE CONDUTA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