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414" w:rsidRPr="001B1721" w:rsidRDefault="00844027" w:rsidP="002D2414">
      <w:pPr>
        <w:keepNext/>
        <w:numPr>
          <w:ilvl w:val="0"/>
          <w:numId w:val="1"/>
        </w:numPr>
        <w:tabs>
          <w:tab w:val="left" w:pos="567"/>
        </w:tabs>
        <w:autoSpaceDE w:val="0"/>
        <w:autoSpaceDN w:val="0"/>
        <w:spacing w:before="240" w:after="240" w:line="240" w:lineRule="auto"/>
        <w:ind w:right="142"/>
        <w:jc w:val="both"/>
        <w:outlineLvl w:val="4"/>
        <w:rPr>
          <w:rFonts w:ascii="Arial" w:hAnsi="Arial" w:cs="Arial"/>
          <w:b/>
          <w:bCs/>
          <w:sz w:val="24"/>
          <w:szCs w:val="24"/>
        </w:rPr>
      </w:pPr>
      <w:r>
        <w:rPr>
          <w:rFonts w:ascii="Arial" w:hAnsi="Arial" w:cs="Arial"/>
          <w:b/>
          <w:bCs/>
          <w:sz w:val="24"/>
          <w:szCs w:val="24"/>
        </w:rPr>
        <w:t>Processo Licitatório nº 58</w:t>
      </w:r>
      <w:r w:rsidR="002D2414" w:rsidRPr="001B1721">
        <w:rPr>
          <w:rFonts w:ascii="Arial" w:hAnsi="Arial" w:cs="Arial"/>
          <w:b/>
          <w:bCs/>
          <w:sz w:val="24"/>
          <w:szCs w:val="24"/>
        </w:rPr>
        <w:t>/2019</w:t>
      </w:r>
    </w:p>
    <w:p w:rsidR="00844027" w:rsidRDefault="002D2414" w:rsidP="00844027">
      <w:pPr>
        <w:spacing w:before="480" w:after="480"/>
        <w:jc w:val="both"/>
        <w:rPr>
          <w:rFonts w:ascii="Arial" w:hAnsi="Arial" w:cs="Arial"/>
          <w:bCs/>
          <w:sz w:val="24"/>
          <w:szCs w:val="24"/>
        </w:rPr>
      </w:pPr>
      <w:r w:rsidRPr="001B1721">
        <w:rPr>
          <w:rFonts w:ascii="Arial" w:hAnsi="Arial" w:cs="Arial"/>
          <w:b/>
          <w:sz w:val="24"/>
          <w:szCs w:val="24"/>
        </w:rPr>
        <w:t>PROCESSO SEI:</w:t>
      </w:r>
      <w:r w:rsidRPr="001B1721">
        <w:rPr>
          <w:rFonts w:ascii="Arial" w:hAnsi="Arial" w:cs="Arial"/>
          <w:sz w:val="24"/>
          <w:szCs w:val="24"/>
        </w:rPr>
        <w:t xml:space="preserve"> </w:t>
      </w:r>
      <w:r w:rsidRPr="001B1721">
        <w:rPr>
          <w:rFonts w:ascii="Arial" w:hAnsi="Arial" w:cs="Arial"/>
          <w:bCs/>
          <w:sz w:val="24"/>
          <w:szCs w:val="24"/>
        </w:rPr>
        <w:t xml:space="preserve">Nº </w:t>
      </w:r>
      <w:r w:rsidR="00844027" w:rsidRPr="00844027">
        <w:rPr>
          <w:rFonts w:ascii="Arial" w:hAnsi="Arial" w:cs="Arial"/>
          <w:bCs/>
          <w:sz w:val="24"/>
          <w:szCs w:val="24"/>
        </w:rPr>
        <w:t>19.16.3720.0007305/2019-35</w:t>
      </w:r>
    </w:p>
    <w:p w:rsidR="002D2414" w:rsidRPr="001B1721" w:rsidRDefault="002D2414" w:rsidP="00844027">
      <w:pPr>
        <w:spacing w:before="480" w:after="480"/>
        <w:jc w:val="both"/>
        <w:rPr>
          <w:rFonts w:ascii="Arial" w:hAnsi="Arial" w:cs="Arial"/>
          <w:sz w:val="24"/>
          <w:szCs w:val="24"/>
        </w:rPr>
      </w:pPr>
      <w:r w:rsidRPr="001B1721">
        <w:rPr>
          <w:rFonts w:ascii="Arial" w:hAnsi="Arial" w:cs="Arial"/>
          <w:b/>
          <w:bCs/>
          <w:sz w:val="24"/>
          <w:szCs w:val="24"/>
        </w:rPr>
        <w:t>Objeto:</w:t>
      </w:r>
      <w:r w:rsidR="007A705C">
        <w:rPr>
          <w:rFonts w:ascii="Arial" w:hAnsi="Arial" w:cs="Arial"/>
          <w:sz w:val="24"/>
          <w:szCs w:val="24"/>
        </w:rPr>
        <w:t xml:space="preserve"> </w:t>
      </w:r>
      <w:r w:rsidR="00844027" w:rsidRPr="00844027">
        <w:rPr>
          <w:rFonts w:ascii="Arial" w:hAnsi="Arial" w:cs="Arial"/>
          <w:sz w:val="24"/>
          <w:szCs w:val="24"/>
        </w:rPr>
        <w:t>Aquisição e instalação de kit cerca concertina e de sistema de controle de acesso veicular e de pessoas para uso na sede da Procuradoria-Geral de Justiça do Estado de Minas Gerais e no prédio da Rua Gonçalves Dias, contemplando a manutenção preventiva e corretiva do sistema (itens de software e hardware), com cobertura total de peças, pelo período de 36 (trinta e seis) meses</w:t>
      </w:r>
    </w:p>
    <w:p w:rsidR="002D2414" w:rsidRDefault="002D2414" w:rsidP="007A705C">
      <w:pPr>
        <w:tabs>
          <w:tab w:val="left" w:pos="567"/>
        </w:tabs>
        <w:autoSpaceDE w:val="0"/>
        <w:autoSpaceDN w:val="0"/>
        <w:spacing w:after="0" w:line="240" w:lineRule="auto"/>
        <w:ind w:firstLine="567"/>
        <w:jc w:val="both"/>
        <w:rPr>
          <w:rFonts w:ascii="Arial" w:hAnsi="Arial" w:cs="Arial"/>
          <w:sz w:val="24"/>
          <w:szCs w:val="24"/>
        </w:rPr>
      </w:pPr>
      <w:r>
        <w:rPr>
          <w:rFonts w:ascii="Arial" w:hAnsi="Arial" w:cs="Arial"/>
          <w:sz w:val="24"/>
          <w:szCs w:val="24"/>
        </w:rPr>
        <w:t xml:space="preserve">A </w:t>
      </w:r>
      <w:r w:rsidR="00844027">
        <w:rPr>
          <w:rFonts w:ascii="Arial" w:hAnsi="Arial" w:cs="Arial"/>
          <w:sz w:val="24"/>
          <w:szCs w:val="24"/>
        </w:rPr>
        <w:t>empresa VMI SISTEMAS DE SEGURANÇA LTDA</w:t>
      </w:r>
      <w:r>
        <w:rPr>
          <w:rFonts w:ascii="Arial" w:hAnsi="Arial" w:cs="Arial"/>
          <w:sz w:val="24"/>
          <w:szCs w:val="24"/>
        </w:rPr>
        <w:t xml:space="preserve"> apresentou peça impugnativa</w:t>
      </w:r>
      <w:r w:rsidR="004C39F3">
        <w:rPr>
          <w:rFonts w:ascii="Arial" w:hAnsi="Arial" w:cs="Arial"/>
          <w:sz w:val="24"/>
          <w:szCs w:val="24"/>
        </w:rPr>
        <w:t xml:space="preserve"> </w:t>
      </w:r>
      <w:r>
        <w:rPr>
          <w:rFonts w:ascii="Arial" w:hAnsi="Arial" w:cs="Arial"/>
          <w:sz w:val="24"/>
          <w:szCs w:val="24"/>
        </w:rPr>
        <w:t>referente ao processo licitatório em epígrafe, porém, não cumpriu a exigência editalícia quanto à forma de apresentação da impugnação, estando em desconformidade com o Item 3 e seus subitens que assim dispõe:</w:t>
      </w:r>
    </w:p>
    <w:p w:rsidR="002D2414" w:rsidRPr="00F45245" w:rsidRDefault="002D2414" w:rsidP="002D2414">
      <w:pPr>
        <w:pStyle w:val="CPLPadrao"/>
        <w:tabs>
          <w:tab w:val="left" w:pos="567"/>
        </w:tabs>
        <w:spacing w:before="240" w:after="240"/>
        <w:ind w:left="708"/>
        <w:rPr>
          <w:sz w:val="20"/>
          <w:szCs w:val="20"/>
        </w:rPr>
      </w:pPr>
      <w:r w:rsidRPr="00F45245">
        <w:rPr>
          <w:sz w:val="20"/>
          <w:szCs w:val="20"/>
        </w:rPr>
        <w:t xml:space="preserve">3.2. O instrumento de impugnação deverá ser dirigido ao Pregoeiro e encaminhado ao Protocolo-Geral da Procuradoria-Geral de Justiça, acompanhado de fundamentação do alegado e instruído de eventuais provas que se fizerem necessárias. </w:t>
      </w:r>
    </w:p>
    <w:p w:rsidR="002D2414" w:rsidRDefault="002D2414" w:rsidP="002D2414">
      <w:pPr>
        <w:pStyle w:val="CPLPadrao"/>
        <w:tabs>
          <w:tab w:val="left" w:pos="0"/>
        </w:tabs>
        <w:spacing w:before="240" w:after="240"/>
        <w:ind w:left="708"/>
        <w:rPr>
          <w:sz w:val="20"/>
          <w:szCs w:val="20"/>
        </w:rPr>
      </w:pPr>
      <w:r w:rsidRPr="00F45245">
        <w:rPr>
          <w:sz w:val="20"/>
          <w:szCs w:val="20"/>
        </w:rPr>
        <w:t>3.2.1. A impugnação deverá ser assinada pelo cidadão, acompanhada de cópia do seu documento de identificação com foto, contendo número do seu RG ou CPF, ou pelo representante legal da empresa licitante, com indicação de sua razão social, número do CNPJ e endereço, acompanhada de todos os documentos necessários à comprovação do poder de representação do signatário.</w:t>
      </w:r>
      <w:r w:rsidRPr="00F45245" w:rsidDel="00BA429C">
        <w:rPr>
          <w:sz w:val="20"/>
          <w:szCs w:val="20"/>
        </w:rPr>
        <w:t xml:space="preserve"> </w:t>
      </w:r>
    </w:p>
    <w:p w:rsidR="00B76C62" w:rsidRDefault="00720558" w:rsidP="007A705C">
      <w:pPr>
        <w:pStyle w:val="CPLPadrao"/>
        <w:tabs>
          <w:tab w:val="left" w:pos="0"/>
        </w:tabs>
        <w:spacing w:after="0"/>
        <w:ind w:firstLine="709"/>
        <w:rPr>
          <w:u w:val="single"/>
        </w:rPr>
      </w:pPr>
      <w:r>
        <w:t>Ten</w:t>
      </w:r>
      <w:r w:rsidR="00540082">
        <w:t>do em vista ao não atendimento d</w:t>
      </w:r>
      <w:r>
        <w:t>os requisitos previsto</w:t>
      </w:r>
      <w:r w:rsidR="001D5BA0">
        <w:t>s</w:t>
      </w:r>
      <w:r>
        <w:t xml:space="preserve"> no edital, confo</w:t>
      </w:r>
      <w:r w:rsidR="009E287D">
        <w:t>r</w:t>
      </w:r>
      <w:r>
        <w:t xml:space="preserve">me acima </w:t>
      </w:r>
      <w:r w:rsidR="009E287D">
        <w:t>demonstrado</w:t>
      </w:r>
      <w:r>
        <w:t xml:space="preserve">, a impugnação </w:t>
      </w:r>
      <w:r w:rsidR="009E287D">
        <w:t xml:space="preserve">foi recebida como </w:t>
      </w:r>
      <w:r w:rsidR="009E287D" w:rsidRPr="009E287D">
        <w:rPr>
          <w:u w:val="single"/>
        </w:rPr>
        <w:t>Pedido de Esclarecimentos.</w:t>
      </w:r>
    </w:p>
    <w:p w:rsidR="00B76C62" w:rsidRDefault="00B76C62" w:rsidP="00B76C62">
      <w:pPr>
        <w:pStyle w:val="CPLPadrao"/>
        <w:tabs>
          <w:tab w:val="left" w:pos="0"/>
        </w:tabs>
        <w:spacing w:after="0"/>
        <w:rPr>
          <w:u w:val="single"/>
        </w:rPr>
      </w:pPr>
    </w:p>
    <w:p w:rsidR="00B311A6" w:rsidRPr="00B76C62" w:rsidRDefault="00B311A6" w:rsidP="00B76C62">
      <w:pPr>
        <w:pStyle w:val="CPLPadrao"/>
        <w:tabs>
          <w:tab w:val="left" w:pos="0"/>
        </w:tabs>
        <w:spacing w:after="0"/>
        <w:ind w:firstLine="709"/>
        <w:rPr>
          <w:u w:val="single"/>
        </w:rPr>
      </w:pPr>
      <w:r w:rsidRPr="00B311A6">
        <w:t>Considerando que os questionamento</w:t>
      </w:r>
      <w:r w:rsidR="00B76C62">
        <w:t>s são de natureza eminentemente</w:t>
      </w:r>
      <w:r w:rsidR="00B76C62">
        <w:rPr>
          <w:u w:val="single"/>
        </w:rPr>
        <w:t xml:space="preserve"> </w:t>
      </w:r>
      <w:r w:rsidRPr="00B311A6">
        <w:t>técnica, o Setor Técnico foi suscitado a se manifestar, conforme</w:t>
      </w:r>
      <w:r w:rsidR="004C39F3">
        <w:t xml:space="preserve"> respostas </w:t>
      </w:r>
      <w:r w:rsidRPr="00B311A6">
        <w:t>a seguir:</w:t>
      </w:r>
    </w:p>
    <w:p w:rsidR="00B76C62" w:rsidRDefault="00B76C62" w:rsidP="002D2414">
      <w:pPr>
        <w:pStyle w:val="Default"/>
        <w:jc w:val="both"/>
        <w:rPr>
          <w:b/>
        </w:rPr>
      </w:pPr>
    </w:p>
    <w:p w:rsidR="00720558" w:rsidRPr="00B76C62" w:rsidRDefault="00B76C62" w:rsidP="002D2414">
      <w:pPr>
        <w:pStyle w:val="Default"/>
        <w:jc w:val="both"/>
        <w:rPr>
          <w:b/>
          <w:bCs/>
        </w:rPr>
      </w:pPr>
      <w:r>
        <w:rPr>
          <w:b/>
        </w:rPr>
        <w:t xml:space="preserve">Pedido de esclarecimento 1: </w:t>
      </w:r>
      <w:r w:rsidR="002D2414">
        <w:rPr>
          <w:bCs/>
        </w:rPr>
        <w:t xml:space="preserve">A </w:t>
      </w:r>
      <w:r w:rsidR="00EF6297">
        <w:rPr>
          <w:bCs/>
        </w:rPr>
        <w:t xml:space="preserve">empresa </w:t>
      </w:r>
      <w:r w:rsidR="009E287D">
        <w:t xml:space="preserve">VMI SISTEMAS DE SEGURANÇA LTDA </w:t>
      </w:r>
      <w:r w:rsidR="002D2414">
        <w:rPr>
          <w:bCs/>
        </w:rPr>
        <w:t xml:space="preserve">alega que </w:t>
      </w:r>
      <w:r w:rsidR="00720558">
        <w:rPr>
          <w:bCs/>
        </w:rPr>
        <w:t>o detector de metais portátil e o detector de metais tipo pórtico citados no Apenso I do Termo de Referência – caderno de Especificações Técnicas, itens 18 e 19 não estão especificados no item 3 – O preço e as especificações mínimas do Anexo II, o que impossibilita identificar qua</w:t>
      </w:r>
      <w:r w:rsidR="009E287D">
        <w:rPr>
          <w:bCs/>
        </w:rPr>
        <w:t>l</w:t>
      </w:r>
      <w:r w:rsidR="00720558">
        <w:rPr>
          <w:bCs/>
        </w:rPr>
        <w:t xml:space="preserve"> quantidade está sendo solicitada e qual item seria do mat</w:t>
      </w:r>
      <w:r w:rsidR="009E287D">
        <w:rPr>
          <w:bCs/>
        </w:rPr>
        <w:t>erial</w:t>
      </w:r>
      <w:r w:rsidR="00720558">
        <w:rPr>
          <w:bCs/>
        </w:rPr>
        <w:t xml:space="preserve"> supracitado.</w:t>
      </w:r>
    </w:p>
    <w:p w:rsidR="00B76C62" w:rsidRDefault="00B76C62" w:rsidP="00B76C62">
      <w:pPr>
        <w:pStyle w:val="Default"/>
        <w:jc w:val="both"/>
        <w:rPr>
          <w:bCs/>
        </w:rPr>
      </w:pPr>
    </w:p>
    <w:p w:rsidR="009E287D" w:rsidRPr="009E287D" w:rsidRDefault="009E287D" w:rsidP="00B76C62">
      <w:pPr>
        <w:pStyle w:val="Default"/>
        <w:jc w:val="both"/>
        <w:rPr>
          <w:bCs/>
        </w:rPr>
      </w:pPr>
      <w:r w:rsidRPr="009E287D">
        <w:rPr>
          <w:b/>
          <w:bCs/>
        </w:rPr>
        <w:t>Resposta:</w:t>
      </w:r>
      <w:r>
        <w:rPr>
          <w:bCs/>
        </w:rPr>
        <w:t xml:space="preserve"> </w:t>
      </w:r>
      <w:r>
        <w:t xml:space="preserve">Com relação aos itens 18 e 19 do caderno de especificações técnicas, onde a empresa questiona a quantidade de equipamentos que estão sendo solicitados, esclarecemos que tais itens estão inseridos no kit 08, sendo necessário </w:t>
      </w:r>
      <w:r w:rsidR="00B76C62">
        <w:t xml:space="preserve">o </w:t>
      </w:r>
      <w:r>
        <w:t xml:space="preserve">fornecimento de 01 unidade do item 18 e </w:t>
      </w:r>
      <w:proofErr w:type="gramStart"/>
      <w:r>
        <w:t>01 unidade</w:t>
      </w:r>
      <w:proofErr w:type="gramEnd"/>
      <w:r>
        <w:t xml:space="preserve"> do 1</w:t>
      </w:r>
      <w:r w:rsidR="00B76C62">
        <w:t>.</w:t>
      </w:r>
    </w:p>
    <w:p w:rsidR="009E287D" w:rsidRDefault="009E287D" w:rsidP="009E287D">
      <w:pPr>
        <w:pStyle w:val="Default"/>
        <w:ind w:left="720"/>
        <w:jc w:val="both"/>
        <w:rPr>
          <w:b/>
          <w:bCs/>
        </w:rPr>
      </w:pPr>
    </w:p>
    <w:p w:rsidR="009E287D" w:rsidRDefault="007A705C" w:rsidP="00B76C62">
      <w:pPr>
        <w:pStyle w:val="Default"/>
        <w:jc w:val="both"/>
        <w:rPr>
          <w:bCs/>
        </w:rPr>
      </w:pPr>
      <w:r>
        <w:rPr>
          <w:b/>
          <w:bCs/>
        </w:rPr>
        <w:lastRenderedPageBreak/>
        <w:t xml:space="preserve">Pedido de esclarecimento 2: </w:t>
      </w:r>
      <w:r w:rsidR="009E287D">
        <w:rPr>
          <w:bCs/>
        </w:rPr>
        <w:t xml:space="preserve">Alega a empresa </w:t>
      </w:r>
      <w:r w:rsidR="00B4754C">
        <w:t xml:space="preserve">VMI SISTEMAS DE SEGURANÇA LTDA </w:t>
      </w:r>
      <w:r w:rsidR="009E287D">
        <w:rPr>
          <w:bCs/>
        </w:rPr>
        <w:t xml:space="preserve">que o </w:t>
      </w:r>
      <w:r w:rsidR="00B76C62">
        <w:rPr>
          <w:bCs/>
        </w:rPr>
        <w:t>edital</w:t>
      </w:r>
      <w:r w:rsidR="009E287D">
        <w:rPr>
          <w:bCs/>
        </w:rPr>
        <w:t xml:space="preserve"> deverá ser corrig</w:t>
      </w:r>
      <w:r w:rsidR="00B76C62">
        <w:rPr>
          <w:bCs/>
        </w:rPr>
        <w:t>id</w:t>
      </w:r>
      <w:r w:rsidR="009E287D">
        <w:rPr>
          <w:bCs/>
        </w:rPr>
        <w:t xml:space="preserve">o para que conste o lote separado para os equipamentos de </w:t>
      </w:r>
      <w:r w:rsidR="00B76C62">
        <w:rPr>
          <w:bCs/>
        </w:rPr>
        <w:t>segurança</w:t>
      </w:r>
      <w:r w:rsidR="009E287D">
        <w:rPr>
          <w:bCs/>
        </w:rPr>
        <w:t xml:space="preserve"> e de controle de acesso, visto que não pertencem à mesma classe de </w:t>
      </w:r>
      <w:r w:rsidR="00B76C62">
        <w:rPr>
          <w:bCs/>
        </w:rPr>
        <w:t>produtos</w:t>
      </w:r>
      <w:r w:rsidR="009E287D">
        <w:rPr>
          <w:bCs/>
        </w:rPr>
        <w:t xml:space="preserve"> e/ou são similares:</w:t>
      </w:r>
    </w:p>
    <w:p w:rsidR="009E287D" w:rsidRDefault="009E287D" w:rsidP="00B76C62">
      <w:pPr>
        <w:pStyle w:val="Default"/>
        <w:jc w:val="both"/>
        <w:rPr>
          <w:bCs/>
        </w:rPr>
      </w:pPr>
    </w:p>
    <w:p w:rsidR="005C6041" w:rsidRDefault="009E287D" w:rsidP="00B76C62">
      <w:pPr>
        <w:pStyle w:val="Default"/>
        <w:jc w:val="both"/>
      </w:pPr>
      <w:r w:rsidRPr="00B76C62">
        <w:rPr>
          <w:b/>
          <w:bCs/>
        </w:rPr>
        <w:t>Resposta</w:t>
      </w:r>
      <w:r>
        <w:rPr>
          <w:bCs/>
        </w:rPr>
        <w:t xml:space="preserve">: </w:t>
      </w:r>
      <w:r w:rsidR="00B76C62">
        <w:rPr>
          <w:bCs/>
        </w:rPr>
        <w:t>N</w:t>
      </w:r>
      <w:r>
        <w:t xml:space="preserve">o que se refere ao pedido de divisão de lotes, esclarecemos que conforme justificativas já inseridas no edital, páginas 45 </w:t>
      </w:r>
      <w:r w:rsidR="003113E3">
        <w:t>a</w:t>
      </w:r>
      <w:r>
        <w:t xml:space="preserve"> 48, entendemos ser imprescindível a aquisição de todos os equipamentos que compõem o lote 2 em um único lote, ressaltando, ainda, que a aquisição desta forma não irá frustrar </w:t>
      </w:r>
      <w:r w:rsidR="005C6041">
        <w:t>o princípio da competitividade.</w:t>
      </w:r>
    </w:p>
    <w:p w:rsidR="005C6041" w:rsidRDefault="005C6041" w:rsidP="00B76C62">
      <w:pPr>
        <w:pStyle w:val="Default"/>
        <w:jc w:val="both"/>
      </w:pPr>
    </w:p>
    <w:p w:rsidR="005C6041" w:rsidRDefault="005C6041" w:rsidP="00B76C62">
      <w:pPr>
        <w:pStyle w:val="Default"/>
        <w:jc w:val="both"/>
      </w:pPr>
      <w:r>
        <w:t>Transcrevemos a seguir o trecho do edital que demonstra o motivo pelo qual todos os itens foram agrupados no lote 02</w:t>
      </w:r>
      <w:r w:rsidR="00472215">
        <w:t>:</w:t>
      </w:r>
      <w:bookmarkStart w:id="0" w:name="_GoBack"/>
      <w:bookmarkEnd w:id="0"/>
    </w:p>
    <w:p w:rsidR="005C6041" w:rsidRPr="005C6041" w:rsidRDefault="005C6041" w:rsidP="005C6041">
      <w:pPr>
        <w:spacing w:before="240" w:after="240"/>
        <w:ind w:left="709"/>
        <w:jc w:val="both"/>
        <w:rPr>
          <w:rFonts w:ascii="Arial" w:hAnsi="Arial" w:cs="Arial"/>
          <w:sz w:val="20"/>
          <w:szCs w:val="20"/>
        </w:rPr>
      </w:pPr>
      <w:r w:rsidRPr="005C6041">
        <w:rPr>
          <w:rFonts w:ascii="Arial" w:hAnsi="Arial" w:cs="Arial"/>
          <w:b/>
          <w:sz w:val="20"/>
          <w:szCs w:val="20"/>
        </w:rPr>
        <w:t>3 - DIVISÃO EM LOTES</w:t>
      </w:r>
    </w:p>
    <w:p w:rsidR="005C6041" w:rsidRPr="005C6041" w:rsidRDefault="005C6041" w:rsidP="005C6041">
      <w:pPr>
        <w:spacing w:before="240" w:after="240"/>
        <w:ind w:left="709"/>
        <w:jc w:val="both"/>
        <w:rPr>
          <w:rFonts w:ascii="Arial" w:hAnsi="Arial" w:cs="Arial"/>
          <w:sz w:val="20"/>
          <w:szCs w:val="20"/>
        </w:rPr>
      </w:pPr>
      <w:r w:rsidRPr="005C6041">
        <w:rPr>
          <w:rFonts w:ascii="Arial" w:hAnsi="Arial" w:cs="Arial"/>
          <w:sz w:val="20"/>
          <w:szCs w:val="20"/>
        </w:rPr>
        <w:t>2 lotes</w:t>
      </w:r>
    </w:p>
    <w:p w:rsidR="005C6041" w:rsidRPr="005C6041" w:rsidRDefault="005C6041" w:rsidP="005C6041">
      <w:pPr>
        <w:spacing w:before="240" w:after="240"/>
        <w:ind w:left="709"/>
        <w:jc w:val="both"/>
        <w:rPr>
          <w:rFonts w:ascii="Arial" w:hAnsi="Arial" w:cs="Arial"/>
          <w:sz w:val="20"/>
          <w:szCs w:val="20"/>
        </w:rPr>
      </w:pPr>
      <w:r w:rsidRPr="005C6041">
        <w:rPr>
          <w:rFonts w:ascii="Arial" w:hAnsi="Arial" w:cs="Arial"/>
          <w:sz w:val="20"/>
          <w:szCs w:val="20"/>
        </w:rPr>
        <w:t xml:space="preserve">Justificativa: Para o LOTE 1 (kit concertina) entendemos que o objeto por ser de linha de mercado diversa do lote 2 (sistema de controle de acesso) deva ser licitado apartado.  </w:t>
      </w:r>
    </w:p>
    <w:p w:rsidR="005C6041" w:rsidRPr="005C6041" w:rsidRDefault="005C6041" w:rsidP="005C6041">
      <w:pPr>
        <w:spacing w:before="240" w:after="240"/>
        <w:ind w:left="709"/>
        <w:jc w:val="both"/>
        <w:rPr>
          <w:rFonts w:ascii="Arial" w:hAnsi="Arial" w:cs="Arial"/>
          <w:sz w:val="20"/>
          <w:szCs w:val="20"/>
        </w:rPr>
      </w:pPr>
      <w:r w:rsidRPr="005C6041">
        <w:rPr>
          <w:rFonts w:ascii="Arial" w:hAnsi="Arial" w:cs="Arial"/>
          <w:sz w:val="20"/>
          <w:szCs w:val="20"/>
        </w:rPr>
        <w:t xml:space="preserve">Em relação ao sistema de controle de acesso (LOTE 2), importa registrar a necessidade de licitação de todos os itens em único lote, pelas razões que se seguem:  Aquisição em lote único: A Lei 8.666 de 21 de junho de 1993, em seu art. 23, Parágrafo 1º estabelece, como parâmetro, que a aquisição de bens ou serviços por parte da Administração Pública será dividida em parcelas (ou lotes) agrupadas por algum critério lógico estabelecido.  Não obstante, o legislador também facultou à Administração a aquisição em lote único, quando a subdivisão do objeto em parcelas se demonstre econômica ou tecnicamente inviável.   Art. 23 (...) § 1º As obras, serviços e compras efetuadas pela Administração serão divididas em tantas parcelas quantas se comprovarem técnica e economicamente viáveis, procedendo-se à licitação com vistas ao melhor aproveitamento dos recursos disponíveis no mercado e à ampliação da competitividade sem perda da economia de escala. (Lei 8.666/1993).  </w:t>
      </w:r>
    </w:p>
    <w:p w:rsidR="005C6041" w:rsidRPr="005C6041" w:rsidRDefault="005C6041" w:rsidP="005C6041">
      <w:pPr>
        <w:spacing w:before="240" w:after="240"/>
        <w:ind w:left="709"/>
        <w:jc w:val="both"/>
        <w:rPr>
          <w:rFonts w:ascii="Arial" w:hAnsi="Arial" w:cs="Arial"/>
          <w:sz w:val="20"/>
          <w:szCs w:val="20"/>
        </w:rPr>
      </w:pPr>
      <w:r w:rsidRPr="005C6041">
        <w:rPr>
          <w:rFonts w:ascii="Arial" w:hAnsi="Arial" w:cs="Arial"/>
          <w:sz w:val="20"/>
          <w:szCs w:val="20"/>
        </w:rPr>
        <w:t xml:space="preserve">Aquisição em Lote Único - Da Viabilidade Técnica:  Na proposta de aquisição em tela, a aquisição dividida em parcelas não poderá ser considerada, uma vez que, apesar da solução de segurança orgânica ser constituída por itens diversos como, por exemplo, cancelas, catracas, sistema de informação, fechaduras elétricas com controladores de acesso biométrico, dentre outros, todos os itens patrimoniais, softwares e os serviços relacionados se agrupam e interagem entre si, formando um sistema único.   </w:t>
      </w:r>
    </w:p>
    <w:p w:rsidR="005C6041" w:rsidRPr="005C6041" w:rsidRDefault="005C6041" w:rsidP="005C6041">
      <w:pPr>
        <w:spacing w:before="240" w:after="240"/>
        <w:ind w:left="709"/>
        <w:jc w:val="both"/>
        <w:rPr>
          <w:rFonts w:ascii="Arial" w:hAnsi="Arial" w:cs="Arial"/>
          <w:sz w:val="20"/>
          <w:szCs w:val="20"/>
        </w:rPr>
      </w:pPr>
      <w:r w:rsidRPr="005C6041">
        <w:rPr>
          <w:rFonts w:ascii="Arial" w:hAnsi="Arial" w:cs="Arial"/>
          <w:sz w:val="20"/>
          <w:szCs w:val="20"/>
        </w:rPr>
        <w:t xml:space="preserve">De outro modo, optando a Administração pela aquisição em múltiplos lotes, uma série de óbices poderiam se concretizar. Dentre eles destacam-se: </w:t>
      </w:r>
    </w:p>
    <w:p w:rsidR="005C6041" w:rsidRPr="005C6041" w:rsidRDefault="005C6041" w:rsidP="005C6041">
      <w:pPr>
        <w:spacing w:before="240" w:after="240"/>
        <w:ind w:left="709"/>
        <w:jc w:val="both"/>
        <w:rPr>
          <w:rFonts w:ascii="Arial" w:hAnsi="Arial" w:cs="Arial"/>
          <w:sz w:val="20"/>
          <w:szCs w:val="20"/>
        </w:rPr>
      </w:pPr>
      <w:r w:rsidRPr="005C6041">
        <w:rPr>
          <w:rFonts w:ascii="Arial" w:hAnsi="Arial" w:cs="Arial"/>
          <w:sz w:val="20"/>
          <w:szCs w:val="20"/>
        </w:rPr>
        <w:t xml:space="preserve">a) Atraso ou inviabilidade da estruturação do sistema de segurança: Em sentido amplo, a solução proposta consiste na organização de um sistema, ou seja, é constituída por um conjunto de elementos interdependentes de modo a formar um todo organizado. O estabelecimento de uma boa integração entre os diversos componentes da solução resultará em bom funcionamento e, consequentemente, no cumprimento da finalidade e no alcance do </w:t>
      </w:r>
      <w:r w:rsidRPr="005C6041">
        <w:rPr>
          <w:rFonts w:ascii="Arial" w:hAnsi="Arial" w:cs="Arial"/>
          <w:sz w:val="20"/>
          <w:szCs w:val="20"/>
        </w:rPr>
        <w:lastRenderedPageBreak/>
        <w:t xml:space="preserve">objetivo geral do sistema. Em um sistema integrado e sinérgico, qualquer transformação ocorrida em uma das partes do conjunto influenciará de alguma forma todas as outras partes. Por esse motivo, caso a aquisição seja subdividida em diversos lotes, eventual fracasso na aquisição de determinado equipamento ou ocorrendo impossibilidade de contratação de certo serviço, resultaria inevitavelmente em atrasos, ampliação dos custos ou mesmo na inviabilidade da estruturação do sistema de segurança orgânica pretendido dentro do prazo necessário para garantir a segurança dos edifícios que compõem a sede da PGJ-MG. </w:t>
      </w:r>
    </w:p>
    <w:p w:rsidR="005C6041" w:rsidRPr="005C6041" w:rsidRDefault="005C6041" w:rsidP="005C6041">
      <w:pPr>
        <w:spacing w:before="240" w:after="240"/>
        <w:ind w:left="709"/>
        <w:jc w:val="both"/>
        <w:rPr>
          <w:rFonts w:ascii="Arial" w:hAnsi="Arial" w:cs="Arial"/>
          <w:sz w:val="20"/>
          <w:szCs w:val="20"/>
        </w:rPr>
      </w:pPr>
      <w:r w:rsidRPr="005C6041">
        <w:rPr>
          <w:rFonts w:ascii="Arial" w:hAnsi="Arial" w:cs="Arial"/>
          <w:sz w:val="20"/>
          <w:szCs w:val="20"/>
        </w:rPr>
        <w:t xml:space="preserve">b) Incompatibilidade entre componentes tecnológicos: A subdivisão em lotes distintos poderá gerar incompatibilidades entre os diversos equipamentos integrantes da solução, uma vez que, na seara tecnológica, é comum que fabricantes embarquem em seus produtos componentes de hardware ou software exclusivos, produzidos com tecnologia proprietária ou planejados para uso exclusivo em produtos de mesma marca. Assim, mesmo que as cancelas ou catracas possuam em sua descrição técnica a habilidade para a utilização de determinado protocolo de comunicação mundialmente padronizado, é muito provável que haja algum tipo de incompatibilidade com o software de controle desenvolvido por outro fabricante. </w:t>
      </w:r>
    </w:p>
    <w:p w:rsidR="005C6041" w:rsidRPr="005C6041" w:rsidRDefault="005C6041" w:rsidP="005C6041">
      <w:pPr>
        <w:spacing w:before="240" w:after="240"/>
        <w:ind w:left="709"/>
        <w:jc w:val="both"/>
        <w:rPr>
          <w:rFonts w:ascii="Arial" w:hAnsi="Arial" w:cs="Arial"/>
          <w:sz w:val="20"/>
          <w:szCs w:val="20"/>
        </w:rPr>
      </w:pPr>
      <w:r w:rsidRPr="005C6041">
        <w:rPr>
          <w:rFonts w:ascii="Arial" w:hAnsi="Arial" w:cs="Arial"/>
          <w:sz w:val="20"/>
          <w:szCs w:val="20"/>
        </w:rPr>
        <w:t xml:space="preserve">c) Dificuldades relacionadas à manutenção dos equipamentos: Na hipótese da aquisição da solução se concretizar por meio da celebração de contratos com diversos fornecedores é possível antever dificuldades relacionadas à manutenção dos equipamentos.  </w:t>
      </w:r>
    </w:p>
    <w:p w:rsidR="005C6041" w:rsidRPr="005C6041" w:rsidRDefault="005C6041" w:rsidP="005C6041">
      <w:pPr>
        <w:spacing w:before="240" w:after="240"/>
        <w:ind w:left="709"/>
        <w:jc w:val="both"/>
        <w:rPr>
          <w:rFonts w:ascii="Arial" w:hAnsi="Arial" w:cs="Arial"/>
          <w:sz w:val="20"/>
          <w:szCs w:val="20"/>
        </w:rPr>
      </w:pPr>
      <w:r w:rsidRPr="005C6041">
        <w:rPr>
          <w:rFonts w:ascii="Arial" w:hAnsi="Arial" w:cs="Arial"/>
          <w:sz w:val="20"/>
          <w:szCs w:val="20"/>
        </w:rPr>
        <w:t xml:space="preserve">Considerando tratar-se de sistema composto por partes inter-relacionadas, o mau funcionamento ou a falha de um componente resultará em grande dificuldade para que a equipe técnica responsável identifique a origem do problema. Além disso, caso também seja subdividido em diversos contratos o serviço de manutenção, muitas serão as dificuldades no caso de manutenções não programadas, uma vez que, não sendo possível precisar a origem da falha, será necessário acionar o 1º fornecedor de serviços e aguardar o prazo de atendimento e, caso o problema não tenha origem no componente mantido por aquele fornecedor, em sequência será necessário acionar os demais fornecedores, uma a um, até que o componente defeituoso seja identificado e substituído. </w:t>
      </w:r>
    </w:p>
    <w:p w:rsidR="005C6041" w:rsidRPr="005C6041" w:rsidRDefault="005C6041" w:rsidP="005C6041">
      <w:pPr>
        <w:spacing w:before="240" w:after="240"/>
        <w:ind w:left="709"/>
        <w:jc w:val="both"/>
        <w:rPr>
          <w:rFonts w:ascii="Arial" w:hAnsi="Arial" w:cs="Arial"/>
          <w:sz w:val="20"/>
          <w:szCs w:val="20"/>
        </w:rPr>
      </w:pPr>
      <w:r w:rsidRPr="005C6041">
        <w:rPr>
          <w:rFonts w:ascii="Arial" w:hAnsi="Arial" w:cs="Arial"/>
          <w:sz w:val="20"/>
          <w:szCs w:val="20"/>
        </w:rPr>
        <w:t xml:space="preserve">Desnecessário destacar que a adoção desse formato será nociva à segurança da sede da Procuradoria-Geral de Justiça, assim como os custos operacionais resultantes serão em muito multiplicados com a manutenção de tal arranjo contratual. Os itens enumerados acima não esgotam os problemas que poderiam se concretizar caso o objeto da aquisição proposta seja parcelado, mas são suficientes para demonstrar que a opção técnica mais adequada não será outra senão a aquisição em lote único.   </w:t>
      </w:r>
    </w:p>
    <w:p w:rsidR="005C6041" w:rsidRPr="005C6041" w:rsidRDefault="005C6041" w:rsidP="005C6041">
      <w:pPr>
        <w:spacing w:before="240" w:after="240"/>
        <w:ind w:left="709"/>
        <w:jc w:val="both"/>
        <w:rPr>
          <w:rFonts w:ascii="Arial" w:hAnsi="Arial" w:cs="Arial"/>
          <w:sz w:val="20"/>
          <w:szCs w:val="20"/>
        </w:rPr>
      </w:pPr>
      <w:r w:rsidRPr="005C6041">
        <w:rPr>
          <w:rFonts w:ascii="Arial" w:hAnsi="Arial" w:cs="Arial"/>
          <w:sz w:val="20"/>
          <w:szCs w:val="20"/>
        </w:rPr>
        <w:t xml:space="preserve">Aquisição em Lote Único - Da Viabilidade Econômica: Apresentados os argumentos técnicos, resta discutir a viabilidade econômica da aquisição em lote único conforme prevê o § 1º do art. 23 da Lei nº 8.666/93. Para tanto, necessário será avaliar os riscos de superfaturamento e de perda da economia de escala.  </w:t>
      </w:r>
    </w:p>
    <w:p w:rsidR="005C6041" w:rsidRPr="005C6041" w:rsidRDefault="005C6041" w:rsidP="005C6041">
      <w:pPr>
        <w:spacing w:before="240" w:after="240"/>
        <w:ind w:left="709"/>
        <w:jc w:val="both"/>
        <w:rPr>
          <w:rFonts w:ascii="Arial" w:hAnsi="Arial" w:cs="Arial"/>
          <w:sz w:val="20"/>
          <w:szCs w:val="20"/>
        </w:rPr>
      </w:pPr>
      <w:r w:rsidRPr="005C6041">
        <w:rPr>
          <w:rFonts w:ascii="Arial" w:hAnsi="Arial" w:cs="Arial"/>
          <w:sz w:val="20"/>
          <w:szCs w:val="20"/>
        </w:rPr>
        <w:t xml:space="preserve">Inicialmente, é necessário esclarecer que o objeto estabelecido para o processo de aquisição em tela delimitará a participação de empresas de alguns segmentos do mercado voltado para a segurança patrimonial. Assim, é provável que se apresentem para concorrerem no certame que ora se estrutura fornecedores de equipamentos de segurança e integradores com especialização em segurança patrimonial. Para empresas desses segmentos, em face de sua especialização e das parcerias comerciais previamente estabelecidas, o foco estará no </w:t>
      </w:r>
      <w:r w:rsidRPr="005C6041">
        <w:rPr>
          <w:rFonts w:ascii="Arial" w:hAnsi="Arial" w:cs="Arial"/>
          <w:sz w:val="20"/>
          <w:szCs w:val="20"/>
        </w:rPr>
        <w:lastRenderedPageBreak/>
        <w:t xml:space="preserve">fornecimento dos equipamentos e serviços diretamente relacionados à segurança patrimonial como, por exemplo, as cancelas motorizadas, as catracas com urna coletora e o sistema de controle de acessos.  </w:t>
      </w:r>
    </w:p>
    <w:p w:rsidR="005C6041" w:rsidRPr="005C6041" w:rsidRDefault="005C6041" w:rsidP="005C6041">
      <w:pPr>
        <w:spacing w:before="240" w:after="240"/>
        <w:ind w:left="709"/>
        <w:jc w:val="both"/>
        <w:rPr>
          <w:rFonts w:ascii="Arial" w:hAnsi="Arial" w:cs="Arial"/>
          <w:sz w:val="20"/>
          <w:szCs w:val="20"/>
        </w:rPr>
      </w:pPr>
      <w:r w:rsidRPr="005C6041">
        <w:rPr>
          <w:rFonts w:ascii="Arial" w:hAnsi="Arial" w:cs="Arial"/>
          <w:sz w:val="20"/>
          <w:szCs w:val="20"/>
        </w:rPr>
        <w:t xml:space="preserve">Também serão esses os principais itens para auferir lucros e atribuir capacidade técnica para alavancar futuros negócios, enquanto os demais componentes serão, muito provavelmente, considerados meros acessórios para a execução do projeto. Nesse sentido, é provável que os itens remanescentes sejam incluídos na formação do preço total da solução pelo seu custo de aquisição acrescido de pequena margem de lucro, pois, de outra forma, poderão ser decisivos para a desclassificação do licitante.  Importante destacar que o julgamento da concorrência se dará pelo valor total da proposta oferecida pelo licitante, por esse motivo é provável que os concorrentes tenham grande atenção a cada valor intermediário para que esse expresse estritamente o preço justo daquele item, uma vez que eventual superfaturamento de um componente muito provavelmente não permitirá que a empresa figure entre os primeiros classificados no certame.  </w:t>
      </w:r>
    </w:p>
    <w:p w:rsidR="005C6041" w:rsidRPr="005C6041" w:rsidRDefault="005C6041" w:rsidP="005C6041">
      <w:pPr>
        <w:spacing w:before="240" w:after="240"/>
        <w:ind w:left="709"/>
        <w:jc w:val="both"/>
        <w:rPr>
          <w:rFonts w:ascii="Arial" w:hAnsi="Arial" w:cs="Arial"/>
          <w:sz w:val="20"/>
          <w:szCs w:val="20"/>
        </w:rPr>
      </w:pPr>
      <w:r w:rsidRPr="005C6041">
        <w:rPr>
          <w:rFonts w:ascii="Arial" w:hAnsi="Arial" w:cs="Arial"/>
          <w:sz w:val="20"/>
          <w:szCs w:val="20"/>
        </w:rPr>
        <w:t xml:space="preserve">Considera-se, ainda, que é muito provável que as empresas interessadas estabeleçam parcerias com fabricantes de equipamentos, pois, do contrário, não será possível garantir as entregas e tampouco cumprir o cronograma conforme estabelecido no Termo de Referência. Essas parcerias, por sua vez, resultarão em maiores descontos na aquisição dos produtos, acessórios e serviços pela redução da cadeia de suprimentos (fabricante &gt; distribuidor &gt; revenda &gt; integrador). </w:t>
      </w:r>
    </w:p>
    <w:p w:rsidR="005C6041" w:rsidRPr="005C6041" w:rsidRDefault="005C6041" w:rsidP="005C6041">
      <w:pPr>
        <w:spacing w:before="240" w:after="240"/>
        <w:ind w:left="709"/>
        <w:jc w:val="both"/>
        <w:rPr>
          <w:rFonts w:ascii="Arial" w:hAnsi="Arial" w:cs="Arial"/>
          <w:sz w:val="20"/>
          <w:szCs w:val="20"/>
        </w:rPr>
      </w:pPr>
      <w:r w:rsidRPr="005C6041">
        <w:rPr>
          <w:rFonts w:ascii="Arial" w:hAnsi="Arial" w:cs="Arial"/>
          <w:sz w:val="20"/>
          <w:szCs w:val="20"/>
        </w:rPr>
        <w:t xml:space="preserve">Outro ponto relevante a ser considerado e que, muito provavelmente, culminará na apresentação de preços justos pelo licitante vencedor, reside no fato da execução do projeto, ora discutido, ultrapassar o simples interesse no lucro imediato: a relevância da “marca” MPMG se converterá em fator de destaque para a empresa vencedora no cenário nacional, viabilizando e impulsionando a captação de novos clientes e negócios.  </w:t>
      </w:r>
    </w:p>
    <w:p w:rsidR="005C6041" w:rsidRPr="005C6041" w:rsidRDefault="005C6041" w:rsidP="005C6041">
      <w:pPr>
        <w:spacing w:before="240" w:after="240"/>
        <w:ind w:left="709"/>
        <w:jc w:val="both"/>
        <w:rPr>
          <w:rFonts w:ascii="Arial" w:hAnsi="Arial" w:cs="Arial"/>
          <w:sz w:val="20"/>
          <w:szCs w:val="20"/>
        </w:rPr>
      </w:pPr>
      <w:r w:rsidRPr="005C6041">
        <w:rPr>
          <w:rFonts w:ascii="Arial" w:hAnsi="Arial" w:cs="Arial"/>
          <w:sz w:val="20"/>
          <w:szCs w:val="20"/>
        </w:rPr>
        <w:t>Por todos os pontos debatidos, acredita-se que os riscos de superfaturamento e de desrespeito à economia de escala serão em muito reduzidos, bastando para tanto que a Procuradoria-Geral de Justiça garanta a ampla concorrência no processo licitatório vindouro, conforme prescreve a Lei e a praxe Institucional. Além disso, a consulta ao mercado realizada para formação do mapa de preços e do preço máximo, permitirá o estabelecimento de negociação durante o pregão eletrônico.</w:t>
      </w:r>
    </w:p>
    <w:p w:rsidR="00B4754C" w:rsidRDefault="002D2414" w:rsidP="00B4754C">
      <w:pPr>
        <w:shd w:val="clear" w:color="auto" w:fill="FFFFFF"/>
        <w:spacing w:after="0" w:line="240" w:lineRule="auto"/>
        <w:ind w:firstLine="709"/>
        <w:jc w:val="both"/>
        <w:rPr>
          <w:rFonts w:ascii="Arial" w:eastAsia="SimSun" w:hAnsi="Arial" w:cs="Arial"/>
          <w:kern w:val="1"/>
          <w:sz w:val="24"/>
          <w:szCs w:val="24"/>
          <w:lang w:eastAsia="hi-IN" w:bidi="hi-IN"/>
        </w:rPr>
      </w:pPr>
      <w:r>
        <w:rPr>
          <w:rFonts w:ascii="Arial" w:eastAsia="Times New Roman" w:hAnsi="Arial" w:cs="Arial"/>
          <w:color w:val="000000"/>
          <w:sz w:val="24"/>
          <w:szCs w:val="24"/>
        </w:rPr>
        <w:t>Prestados todos os esclarecimentos necessários, informo que</w:t>
      </w:r>
      <w:r w:rsidR="00B4754C">
        <w:rPr>
          <w:rFonts w:ascii="Arial" w:eastAsia="Times New Roman" w:hAnsi="Arial" w:cs="Arial"/>
          <w:color w:val="000000"/>
          <w:sz w:val="24"/>
          <w:szCs w:val="24"/>
        </w:rPr>
        <w:t xml:space="preserve"> </w:t>
      </w:r>
      <w:r w:rsidR="00B4754C">
        <w:rPr>
          <w:rFonts w:ascii="Arial" w:eastAsia="SimSun" w:hAnsi="Arial" w:cs="Arial"/>
          <w:kern w:val="1"/>
          <w:sz w:val="24"/>
          <w:szCs w:val="24"/>
          <w:lang w:eastAsia="hi-IN" w:bidi="hi-IN"/>
        </w:rPr>
        <w:t xml:space="preserve">o edital </w:t>
      </w:r>
      <w:proofErr w:type="gramStart"/>
      <w:r w:rsidR="00B4754C">
        <w:rPr>
          <w:rFonts w:ascii="Arial" w:eastAsia="SimSun" w:hAnsi="Arial" w:cs="Arial"/>
          <w:kern w:val="1"/>
          <w:sz w:val="24"/>
          <w:szCs w:val="24"/>
          <w:lang w:eastAsia="hi-IN" w:bidi="hi-IN"/>
        </w:rPr>
        <w:t>encontra-se</w:t>
      </w:r>
      <w:proofErr w:type="gramEnd"/>
      <w:r w:rsidR="00B4754C">
        <w:rPr>
          <w:rFonts w:ascii="Arial" w:eastAsia="SimSun" w:hAnsi="Arial" w:cs="Arial"/>
          <w:kern w:val="1"/>
          <w:sz w:val="24"/>
          <w:szCs w:val="24"/>
          <w:lang w:eastAsia="hi-IN" w:bidi="hi-IN"/>
        </w:rPr>
        <w:t xml:space="preserve"> em consonância com as normais legais, notadamente, </w:t>
      </w:r>
      <w:r w:rsidR="00B4754C" w:rsidRPr="00BC7C0D">
        <w:rPr>
          <w:rFonts w:ascii="Arial" w:eastAsia="SimSun" w:hAnsi="Arial" w:cs="Arial"/>
          <w:kern w:val="1"/>
          <w:sz w:val="24"/>
          <w:szCs w:val="24"/>
          <w:lang w:eastAsia="hi-IN" w:bidi="hi-IN"/>
        </w:rPr>
        <w:t xml:space="preserve">os princípios basilares </w:t>
      </w:r>
      <w:r w:rsidR="00B4754C">
        <w:rPr>
          <w:rFonts w:ascii="Arial" w:eastAsia="SimSun" w:hAnsi="Arial" w:cs="Arial"/>
          <w:kern w:val="1"/>
          <w:sz w:val="24"/>
          <w:szCs w:val="24"/>
          <w:lang w:eastAsia="hi-IN" w:bidi="hi-IN"/>
        </w:rPr>
        <w:t>que regem a Administração Pública</w:t>
      </w:r>
      <w:r w:rsidR="00B4754C" w:rsidRPr="00BC7C0D">
        <w:rPr>
          <w:rFonts w:ascii="Arial" w:eastAsia="SimSun" w:hAnsi="Arial" w:cs="Arial"/>
          <w:kern w:val="1"/>
          <w:sz w:val="24"/>
          <w:szCs w:val="24"/>
          <w:lang w:eastAsia="hi-IN" w:bidi="hi-IN"/>
        </w:rPr>
        <w:t xml:space="preserve">, </w:t>
      </w:r>
      <w:r w:rsidR="00B4754C" w:rsidRPr="007164AE">
        <w:rPr>
          <w:rFonts w:ascii="Arial" w:eastAsia="SimSun" w:hAnsi="Arial" w:cs="Arial"/>
          <w:kern w:val="1"/>
          <w:sz w:val="24"/>
          <w:szCs w:val="24"/>
          <w:lang w:eastAsia="hi-IN" w:bidi="hi-IN"/>
        </w:rPr>
        <w:t>sem</w:t>
      </w:r>
      <w:r w:rsidR="00B4754C">
        <w:rPr>
          <w:rFonts w:ascii="Arial" w:eastAsia="SimSun" w:hAnsi="Arial" w:cs="Arial"/>
          <w:kern w:val="1"/>
          <w:sz w:val="24"/>
          <w:szCs w:val="24"/>
          <w:lang w:eastAsia="hi-IN" w:bidi="hi-IN"/>
        </w:rPr>
        <w:t xml:space="preserve"> afetar o caráter de</w:t>
      </w:r>
      <w:r w:rsidR="00B4754C" w:rsidRPr="007164AE">
        <w:rPr>
          <w:rFonts w:ascii="Arial" w:eastAsia="SimSun" w:hAnsi="Arial" w:cs="Arial"/>
          <w:kern w:val="1"/>
          <w:sz w:val="24"/>
          <w:szCs w:val="24"/>
          <w:lang w:eastAsia="hi-IN" w:bidi="hi-IN"/>
        </w:rPr>
        <w:t xml:space="preserve"> competição entre os licitantes</w:t>
      </w:r>
      <w:r w:rsidR="00B4754C">
        <w:rPr>
          <w:rFonts w:ascii="Arial" w:eastAsia="SimSun" w:hAnsi="Arial" w:cs="Arial"/>
          <w:kern w:val="1"/>
          <w:sz w:val="24"/>
          <w:szCs w:val="24"/>
          <w:lang w:eastAsia="hi-IN" w:bidi="hi-IN"/>
        </w:rPr>
        <w:t xml:space="preserve">, motivo pelo qual não </w:t>
      </w:r>
      <w:r w:rsidR="007A705C">
        <w:rPr>
          <w:rFonts w:ascii="Arial" w:eastAsia="SimSun" w:hAnsi="Arial" w:cs="Arial"/>
          <w:kern w:val="1"/>
          <w:sz w:val="24"/>
          <w:szCs w:val="24"/>
          <w:lang w:eastAsia="hi-IN" w:bidi="hi-IN"/>
        </w:rPr>
        <w:t>será alterad</w:t>
      </w:r>
      <w:r w:rsidR="00B4754C">
        <w:rPr>
          <w:rFonts w:ascii="Arial" w:eastAsia="SimSun" w:hAnsi="Arial" w:cs="Arial"/>
          <w:kern w:val="1"/>
          <w:sz w:val="24"/>
          <w:szCs w:val="24"/>
          <w:lang w:eastAsia="hi-IN" w:bidi="hi-IN"/>
        </w:rPr>
        <w:t>o.</w:t>
      </w:r>
    </w:p>
    <w:p w:rsidR="007A705C" w:rsidRDefault="007A705C" w:rsidP="00B4754C">
      <w:pPr>
        <w:shd w:val="clear" w:color="auto" w:fill="FFFFFF"/>
        <w:spacing w:after="0" w:line="240" w:lineRule="auto"/>
        <w:ind w:firstLine="709"/>
        <w:jc w:val="both"/>
        <w:rPr>
          <w:rFonts w:ascii="Arial" w:eastAsia="SimSun" w:hAnsi="Arial" w:cs="Arial"/>
          <w:kern w:val="1"/>
          <w:sz w:val="24"/>
          <w:szCs w:val="24"/>
          <w:lang w:eastAsia="hi-IN" w:bidi="hi-IN"/>
        </w:rPr>
      </w:pPr>
    </w:p>
    <w:p w:rsidR="007A705C" w:rsidRPr="007A705C" w:rsidRDefault="00CE5E25" w:rsidP="00B4754C">
      <w:pPr>
        <w:shd w:val="clear" w:color="auto" w:fill="FFFFFF"/>
        <w:spacing w:after="0" w:line="240" w:lineRule="auto"/>
        <w:ind w:firstLine="709"/>
        <w:jc w:val="both"/>
        <w:rPr>
          <w:rFonts w:ascii="Arial" w:eastAsia="SimSun" w:hAnsi="Arial" w:cs="Arial"/>
          <w:kern w:val="1"/>
          <w:sz w:val="24"/>
          <w:szCs w:val="24"/>
          <w:lang w:eastAsia="hi-IN" w:bidi="hi-IN"/>
        </w:rPr>
      </w:pPr>
      <w:r>
        <w:rPr>
          <w:rFonts w:ascii="Arial" w:hAnsi="Arial" w:cs="Arial"/>
          <w:sz w:val="24"/>
          <w:szCs w:val="24"/>
        </w:rPr>
        <w:t>Na oportunidade, esclareço</w:t>
      </w:r>
      <w:r w:rsidR="007A705C" w:rsidRPr="007A705C">
        <w:rPr>
          <w:rFonts w:ascii="Arial" w:hAnsi="Arial" w:cs="Arial"/>
          <w:sz w:val="24"/>
          <w:szCs w:val="24"/>
        </w:rPr>
        <w:t xml:space="preserve"> que a(s) resposta(s) acima foi(</w:t>
      </w:r>
      <w:proofErr w:type="spellStart"/>
      <w:r w:rsidR="007A705C" w:rsidRPr="007A705C">
        <w:rPr>
          <w:rFonts w:ascii="Arial" w:hAnsi="Arial" w:cs="Arial"/>
          <w:sz w:val="24"/>
          <w:szCs w:val="24"/>
        </w:rPr>
        <w:t>ram</w:t>
      </w:r>
      <w:proofErr w:type="spellEnd"/>
      <w:r w:rsidR="007A705C" w:rsidRPr="007A705C">
        <w:rPr>
          <w:rFonts w:ascii="Arial" w:hAnsi="Arial" w:cs="Arial"/>
          <w:sz w:val="24"/>
          <w:szCs w:val="24"/>
        </w:rPr>
        <w:t>) disponibilizada(s) no site da Procuradoria-Geral de Justiça (</w:t>
      </w:r>
      <w:hyperlink r:id="rId8" w:history="1">
        <w:r w:rsidR="007A705C" w:rsidRPr="007A705C">
          <w:rPr>
            <w:rStyle w:val="Hyperlink"/>
            <w:rFonts w:ascii="Arial" w:hAnsi="Arial" w:cs="Arial"/>
            <w:sz w:val="24"/>
            <w:szCs w:val="24"/>
          </w:rPr>
          <w:t>http://www.mpmg.mp.br/acesso-a-informacao/licitacoes/licitacoes.htm</w:t>
        </w:r>
      </w:hyperlink>
      <w:r w:rsidR="007A705C" w:rsidRPr="007A705C">
        <w:rPr>
          <w:rFonts w:ascii="Arial" w:hAnsi="Arial" w:cs="Arial"/>
          <w:sz w:val="24"/>
          <w:szCs w:val="24"/>
        </w:rPr>
        <w:t>) e no Portal e Compras/MG (</w:t>
      </w:r>
      <w:hyperlink r:id="rId9" w:history="1">
        <w:r w:rsidR="007A705C" w:rsidRPr="007A705C">
          <w:rPr>
            <w:rStyle w:val="Hyperlink"/>
            <w:rFonts w:ascii="Arial" w:hAnsi="Arial" w:cs="Arial"/>
            <w:sz w:val="24"/>
            <w:szCs w:val="24"/>
          </w:rPr>
          <w:t>www.compras.mg.gov.br</w:t>
        </w:r>
      </w:hyperlink>
      <w:r w:rsidR="007A705C" w:rsidRPr="007A705C">
        <w:rPr>
          <w:rFonts w:ascii="Arial" w:hAnsi="Arial" w:cs="Arial"/>
          <w:sz w:val="24"/>
          <w:szCs w:val="24"/>
        </w:rPr>
        <w:t>), para consulta de eventuais interessados.</w:t>
      </w:r>
    </w:p>
    <w:p w:rsidR="00B4754C" w:rsidRDefault="00B4754C" w:rsidP="00B4754C">
      <w:pPr>
        <w:shd w:val="clear" w:color="auto" w:fill="FFFFFF"/>
        <w:spacing w:after="0" w:line="240" w:lineRule="auto"/>
        <w:ind w:firstLine="709"/>
        <w:jc w:val="both"/>
        <w:rPr>
          <w:rFonts w:ascii="Arial" w:eastAsia="SimSun" w:hAnsi="Arial" w:cs="Arial"/>
          <w:kern w:val="1"/>
          <w:sz w:val="24"/>
          <w:szCs w:val="24"/>
          <w:lang w:eastAsia="hi-IN" w:bidi="hi-IN"/>
        </w:rPr>
      </w:pPr>
    </w:p>
    <w:p w:rsidR="00B4754C" w:rsidRDefault="00B4754C" w:rsidP="00B4754C">
      <w:pPr>
        <w:shd w:val="clear" w:color="auto" w:fill="FFFFFF"/>
        <w:spacing w:after="0" w:line="240" w:lineRule="auto"/>
        <w:ind w:firstLine="709"/>
        <w:jc w:val="both"/>
        <w:rPr>
          <w:rFonts w:ascii="Arial" w:eastAsia="SimSun" w:hAnsi="Arial" w:cs="Arial"/>
          <w:kern w:val="1"/>
          <w:sz w:val="24"/>
          <w:szCs w:val="24"/>
          <w:lang w:eastAsia="hi-IN" w:bidi="hi-IN"/>
        </w:rPr>
      </w:pPr>
    </w:p>
    <w:p w:rsidR="002D2414" w:rsidRDefault="002D2414" w:rsidP="002D2414">
      <w:pPr>
        <w:shd w:val="clear" w:color="auto" w:fill="FDFDFD"/>
        <w:spacing w:line="240" w:lineRule="auto"/>
        <w:ind w:firstLine="1701"/>
        <w:jc w:val="both"/>
        <w:rPr>
          <w:rFonts w:ascii="Arial" w:eastAsia="Times New Roman" w:hAnsi="Arial" w:cs="Arial"/>
          <w:color w:val="000000"/>
          <w:sz w:val="24"/>
          <w:szCs w:val="24"/>
        </w:rPr>
      </w:pPr>
    </w:p>
    <w:p w:rsidR="002D2414" w:rsidRDefault="002D2414" w:rsidP="002D2414">
      <w:pPr>
        <w:spacing w:before="100" w:beforeAutospacing="1" w:after="100" w:afterAutospacing="1" w:line="240" w:lineRule="auto"/>
        <w:jc w:val="center"/>
        <w:rPr>
          <w:rFonts w:ascii="Arial" w:hAnsi="Arial" w:cs="Arial"/>
          <w:sz w:val="24"/>
          <w:szCs w:val="24"/>
        </w:rPr>
      </w:pPr>
      <w:r w:rsidRPr="00226835">
        <w:rPr>
          <w:rFonts w:ascii="Arial" w:hAnsi="Arial" w:cs="Arial"/>
          <w:sz w:val="24"/>
          <w:szCs w:val="24"/>
        </w:rPr>
        <w:lastRenderedPageBreak/>
        <w:t xml:space="preserve">Belo Horizonte, </w:t>
      </w:r>
      <w:r>
        <w:rPr>
          <w:rFonts w:ascii="Arial" w:hAnsi="Arial" w:cs="Arial"/>
          <w:sz w:val="24"/>
          <w:szCs w:val="24"/>
        </w:rPr>
        <w:t>2</w:t>
      </w:r>
      <w:r w:rsidR="00B311A6">
        <w:rPr>
          <w:rFonts w:ascii="Arial" w:hAnsi="Arial" w:cs="Arial"/>
          <w:sz w:val="24"/>
          <w:szCs w:val="24"/>
        </w:rPr>
        <w:t>7</w:t>
      </w:r>
      <w:r>
        <w:rPr>
          <w:rFonts w:ascii="Arial" w:hAnsi="Arial" w:cs="Arial"/>
          <w:sz w:val="24"/>
          <w:szCs w:val="24"/>
        </w:rPr>
        <w:t xml:space="preserve"> de </w:t>
      </w:r>
      <w:r w:rsidR="00B311A6">
        <w:rPr>
          <w:rFonts w:ascii="Arial" w:hAnsi="Arial" w:cs="Arial"/>
          <w:sz w:val="24"/>
          <w:szCs w:val="24"/>
        </w:rPr>
        <w:t>novembro</w:t>
      </w:r>
      <w:r>
        <w:rPr>
          <w:rFonts w:ascii="Arial" w:hAnsi="Arial" w:cs="Arial"/>
          <w:sz w:val="24"/>
          <w:szCs w:val="24"/>
        </w:rPr>
        <w:t xml:space="preserve"> de 2019.</w:t>
      </w:r>
    </w:p>
    <w:p w:rsidR="002D2414" w:rsidRDefault="002D2414" w:rsidP="002D2414">
      <w:pPr>
        <w:spacing w:before="100" w:beforeAutospacing="1" w:after="100" w:afterAutospacing="1" w:line="240" w:lineRule="auto"/>
        <w:jc w:val="center"/>
        <w:rPr>
          <w:rFonts w:ascii="Arial" w:hAnsi="Arial" w:cs="Arial"/>
          <w:sz w:val="24"/>
          <w:szCs w:val="24"/>
        </w:rPr>
      </w:pPr>
    </w:p>
    <w:p w:rsidR="002D2414" w:rsidRDefault="00B311A6" w:rsidP="002D2414">
      <w:pPr>
        <w:tabs>
          <w:tab w:val="left" w:pos="567"/>
        </w:tabs>
        <w:autoSpaceDE w:val="0"/>
        <w:autoSpaceDN w:val="0"/>
        <w:spacing w:before="240" w:after="0" w:line="240" w:lineRule="auto"/>
        <w:ind w:right="-1"/>
        <w:jc w:val="center"/>
        <w:rPr>
          <w:rFonts w:ascii="Arial" w:hAnsi="Arial" w:cs="Arial"/>
          <w:b/>
          <w:sz w:val="24"/>
          <w:szCs w:val="24"/>
        </w:rPr>
      </w:pPr>
      <w:r>
        <w:rPr>
          <w:rFonts w:ascii="Arial" w:hAnsi="Arial" w:cs="Arial"/>
          <w:b/>
          <w:sz w:val="24"/>
          <w:szCs w:val="24"/>
        </w:rPr>
        <w:t>Carmen Lucia Mariz de Macedo</w:t>
      </w:r>
    </w:p>
    <w:p w:rsidR="002D2414" w:rsidRPr="00A266ED" w:rsidRDefault="002D2414" w:rsidP="002D2414">
      <w:pPr>
        <w:tabs>
          <w:tab w:val="left" w:pos="567"/>
        </w:tabs>
        <w:autoSpaceDE w:val="0"/>
        <w:autoSpaceDN w:val="0"/>
        <w:spacing w:after="0" w:line="240" w:lineRule="auto"/>
        <w:ind w:right="-1"/>
        <w:jc w:val="center"/>
        <w:rPr>
          <w:rFonts w:ascii="Arial" w:hAnsi="Arial" w:cs="Arial"/>
          <w:sz w:val="24"/>
          <w:szCs w:val="24"/>
        </w:rPr>
      </w:pPr>
      <w:r>
        <w:rPr>
          <w:rFonts w:ascii="Arial" w:hAnsi="Arial" w:cs="Arial"/>
          <w:sz w:val="24"/>
          <w:szCs w:val="24"/>
        </w:rPr>
        <w:t>Pregoeira</w:t>
      </w:r>
    </w:p>
    <w:p w:rsidR="002D2414" w:rsidRPr="00732143" w:rsidRDefault="002D2414" w:rsidP="002D2414">
      <w:pPr>
        <w:shd w:val="clear" w:color="auto" w:fill="FDFDFD"/>
        <w:spacing w:line="240" w:lineRule="auto"/>
        <w:ind w:firstLine="1701"/>
        <w:jc w:val="center"/>
        <w:rPr>
          <w:rFonts w:ascii="Arial" w:eastAsia="Times New Roman" w:hAnsi="Arial" w:cs="Arial"/>
          <w:color w:val="000000"/>
          <w:sz w:val="24"/>
          <w:szCs w:val="24"/>
        </w:rPr>
      </w:pPr>
    </w:p>
    <w:p w:rsidR="002D2414" w:rsidRDefault="002D2414" w:rsidP="002D2414">
      <w:pPr>
        <w:pStyle w:val="CPLPadrao"/>
        <w:snapToGrid w:val="0"/>
        <w:spacing w:before="120" w:after="120"/>
      </w:pPr>
      <w:r>
        <w:rPr>
          <w:rFonts w:asciiTheme="minorHAnsi" w:eastAsia="Arial Unicode MS" w:hAnsiTheme="minorHAnsi" w:cs="Times New Roman"/>
          <w:kern w:val="0"/>
          <w:sz w:val="20"/>
          <w:szCs w:val="20"/>
          <w:lang w:eastAsia="zh-CN" w:bidi="ar-SA"/>
        </w:rPr>
        <w:tab/>
      </w:r>
      <w:r>
        <w:rPr>
          <w:rFonts w:asciiTheme="minorHAnsi" w:eastAsia="Arial Unicode MS" w:hAnsiTheme="minorHAnsi" w:cs="Times New Roman"/>
          <w:kern w:val="0"/>
          <w:sz w:val="20"/>
          <w:szCs w:val="20"/>
          <w:lang w:eastAsia="zh-CN" w:bidi="ar-SA"/>
        </w:rPr>
        <w:tab/>
      </w:r>
    </w:p>
    <w:p w:rsidR="002D2414" w:rsidRPr="00D011D5" w:rsidRDefault="002D2414" w:rsidP="002D2414">
      <w:pPr>
        <w:tabs>
          <w:tab w:val="left" w:pos="567"/>
        </w:tabs>
        <w:autoSpaceDE w:val="0"/>
        <w:autoSpaceDN w:val="0"/>
        <w:spacing w:after="0" w:line="240" w:lineRule="auto"/>
        <w:ind w:right="-1"/>
        <w:jc w:val="center"/>
      </w:pPr>
    </w:p>
    <w:p w:rsidR="001B1721" w:rsidRPr="002D2414" w:rsidRDefault="001B1721" w:rsidP="002D2414"/>
    <w:sectPr w:rsidR="001B1721" w:rsidRPr="002D2414" w:rsidSect="009A76B3">
      <w:headerReference w:type="default" r:id="rId10"/>
      <w:pgSz w:w="11905" w:h="16837" w:code="9"/>
      <w:pgMar w:top="2835" w:right="1134" w:bottom="1134" w:left="1701" w:header="425"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ADD" w:rsidRDefault="00FE7ADD">
      <w:pPr>
        <w:spacing w:after="0" w:line="240" w:lineRule="auto"/>
      </w:pPr>
      <w:r>
        <w:separator/>
      </w:r>
    </w:p>
  </w:endnote>
  <w:endnote w:type="continuationSeparator" w:id="0">
    <w:p w:rsidR="00FE7ADD" w:rsidRDefault="00FE7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ADD" w:rsidRDefault="00FE7ADD">
      <w:pPr>
        <w:spacing w:after="0" w:line="240" w:lineRule="auto"/>
      </w:pPr>
      <w:r>
        <w:separator/>
      </w:r>
    </w:p>
  </w:footnote>
  <w:footnote w:type="continuationSeparator" w:id="0">
    <w:p w:rsidR="00FE7ADD" w:rsidRDefault="00FE7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818" w:rsidRPr="009A76B3" w:rsidRDefault="00A06818" w:rsidP="00A37CDE">
    <w:pPr>
      <w:pStyle w:val="Cabealho"/>
      <w:spacing w:after="120"/>
      <w:jc w:val="center"/>
      <w:rPr>
        <w:noProof/>
        <w:sz w:val="16"/>
        <w:szCs w:val="16"/>
      </w:rPr>
    </w:pPr>
    <w:r>
      <w:rPr>
        <w:noProof/>
      </w:rPr>
      <w:drawing>
        <wp:inline distT="0" distB="0" distL="0" distR="0">
          <wp:extent cx="745490" cy="74549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490" cy="745490"/>
                  </a:xfrm>
                  <a:prstGeom prst="rect">
                    <a:avLst/>
                  </a:prstGeom>
                  <a:noFill/>
                  <a:ln>
                    <a:noFill/>
                  </a:ln>
                </pic:spPr>
              </pic:pic>
            </a:graphicData>
          </a:graphic>
        </wp:inline>
      </w:drawing>
    </w:r>
  </w:p>
  <w:p w:rsidR="00A06818" w:rsidRPr="00206E8D" w:rsidRDefault="00A06818" w:rsidP="00A37CDE">
    <w:pPr>
      <w:pStyle w:val="Cabealho"/>
      <w:tabs>
        <w:tab w:val="right" w:pos="-2160"/>
      </w:tabs>
      <w:spacing w:after="0" w:line="240" w:lineRule="auto"/>
      <w:jc w:val="center"/>
      <w:rPr>
        <w:sz w:val="24"/>
        <w:szCs w:val="24"/>
      </w:rPr>
    </w:pPr>
    <w:r w:rsidRPr="00206E8D">
      <w:rPr>
        <w:sz w:val="24"/>
        <w:szCs w:val="24"/>
      </w:rPr>
      <w:t>MINISTÉRIO PÚBLICO DO ESTADO DE MINAS GERAIS</w:t>
    </w:r>
  </w:p>
  <w:p w:rsidR="00A06818" w:rsidRPr="00F3707D" w:rsidRDefault="00A06818" w:rsidP="00A37CDE">
    <w:pPr>
      <w:pStyle w:val="Cabealho"/>
      <w:tabs>
        <w:tab w:val="right" w:pos="-2160"/>
      </w:tabs>
      <w:spacing w:after="0" w:line="240" w:lineRule="auto"/>
      <w:jc w:val="center"/>
    </w:pPr>
    <w:r w:rsidRPr="00F3707D">
      <w:t>PROCURADORIA-GERAL DE JUSTIÇA</w:t>
    </w:r>
  </w:p>
  <w:p w:rsidR="00A06818" w:rsidRPr="00F3707D" w:rsidRDefault="00A06818" w:rsidP="00A37CDE">
    <w:pPr>
      <w:pStyle w:val="Cabealho"/>
      <w:tabs>
        <w:tab w:val="right" w:pos="-2160"/>
      </w:tabs>
      <w:spacing w:after="0" w:line="240" w:lineRule="auto"/>
      <w:jc w:val="center"/>
    </w:pPr>
    <w:r w:rsidRPr="00F3707D">
      <w:t>DIVISÃO DE LICITAÇÃO</w:t>
    </w:r>
  </w:p>
  <w:p w:rsidR="00A06818" w:rsidRPr="009A76B3" w:rsidRDefault="00A06818" w:rsidP="00206E8D">
    <w:pPr>
      <w:pStyle w:val="Cabealho"/>
      <w:tabs>
        <w:tab w:val="right" w:pos="-2160"/>
      </w:tabs>
      <w:spacing w:after="0"/>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lowerLetter"/>
      <w:lvlText w:val="%1)"/>
      <w:lvlJc w:val="left"/>
      <w:pPr>
        <w:tabs>
          <w:tab w:val="num" w:pos="0"/>
        </w:tabs>
        <w:ind w:left="1428" w:hanging="360"/>
      </w:pPr>
      <w:rPr>
        <w:rFonts w:ascii="Arial" w:hAnsi="Arial" w:cs="Arial"/>
        <w:sz w:val="24"/>
        <w:szCs w:val="24"/>
      </w:rPr>
    </w:lvl>
  </w:abstractNum>
  <w:abstractNum w:abstractNumId="1" w15:restartNumberingAfterBreak="0">
    <w:nsid w:val="05280986"/>
    <w:multiLevelType w:val="hybridMultilevel"/>
    <w:tmpl w:val="B39A9ED8"/>
    <w:lvl w:ilvl="0" w:tplc="C2467A98">
      <w:start w:val="1"/>
      <w:numFmt w:val="decimal"/>
      <w:lvlText w:val="%1)"/>
      <w:lvlJc w:val="left"/>
      <w:pPr>
        <w:ind w:left="2061" w:hanging="360"/>
      </w:pPr>
      <w:rPr>
        <w:rFonts w:hint="default"/>
      </w:rPr>
    </w:lvl>
    <w:lvl w:ilvl="1" w:tplc="04160019">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 w15:restartNumberingAfterBreak="0">
    <w:nsid w:val="0A8E181C"/>
    <w:multiLevelType w:val="hybridMultilevel"/>
    <w:tmpl w:val="A942D540"/>
    <w:lvl w:ilvl="0" w:tplc="41AE2938">
      <w:start w:val="1"/>
      <w:numFmt w:val="decimal"/>
      <w:lvlText w:val="%1)"/>
      <w:lvlJc w:val="left"/>
      <w:pPr>
        <w:ind w:left="2625" w:hanging="360"/>
      </w:pPr>
      <w:rPr>
        <w:rFonts w:hint="default"/>
      </w:rPr>
    </w:lvl>
    <w:lvl w:ilvl="1" w:tplc="04160019" w:tentative="1">
      <w:start w:val="1"/>
      <w:numFmt w:val="lowerLetter"/>
      <w:lvlText w:val="%2."/>
      <w:lvlJc w:val="left"/>
      <w:pPr>
        <w:ind w:left="3345" w:hanging="360"/>
      </w:pPr>
    </w:lvl>
    <w:lvl w:ilvl="2" w:tplc="0416001B" w:tentative="1">
      <w:start w:val="1"/>
      <w:numFmt w:val="lowerRoman"/>
      <w:lvlText w:val="%3."/>
      <w:lvlJc w:val="right"/>
      <w:pPr>
        <w:ind w:left="4065" w:hanging="180"/>
      </w:pPr>
    </w:lvl>
    <w:lvl w:ilvl="3" w:tplc="0416000F" w:tentative="1">
      <w:start w:val="1"/>
      <w:numFmt w:val="decimal"/>
      <w:lvlText w:val="%4."/>
      <w:lvlJc w:val="left"/>
      <w:pPr>
        <w:ind w:left="4785" w:hanging="360"/>
      </w:pPr>
    </w:lvl>
    <w:lvl w:ilvl="4" w:tplc="04160019" w:tentative="1">
      <w:start w:val="1"/>
      <w:numFmt w:val="lowerLetter"/>
      <w:lvlText w:val="%5."/>
      <w:lvlJc w:val="left"/>
      <w:pPr>
        <w:ind w:left="5505" w:hanging="360"/>
      </w:pPr>
    </w:lvl>
    <w:lvl w:ilvl="5" w:tplc="0416001B" w:tentative="1">
      <w:start w:val="1"/>
      <w:numFmt w:val="lowerRoman"/>
      <w:lvlText w:val="%6."/>
      <w:lvlJc w:val="right"/>
      <w:pPr>
        <w:ind w:left="6225" w:hanging="180"/>
      </w:pPr>
    </w:lvl>
    <w:lvl w:ilvl="6" w:tplc="0416000F" w:tentative="1">
      <w:start w:val="1"/>
      <w:numFmt w:val="decimal"/>
      <w:lvlText w:val="%7."/>
      <w:lvlJc w:val="left"/>
      <w:pPr>
        <w:ind w:left="6945" w:hanging="360"/>
      </w:pPr>
    </w:lvl>
    <w:lvl w:ilvl="7" w:tplc="04160019" w:tentative="1">
      <w:start w:val="1"/>
      <w:numFmt w:val="lowerLetter"/>
      <w:lvlText w:val="%8."/>
      <w:lvlJc w:val="left"/>
      <w:pPr>
        <w:ind w:left="7665" w:hanging="360"/>
      </w:pPr>
    </w:lvl>
    <w:lvl w:ilvl="8" w:tplc="0416001B" w:tentative="1">
      <w:start w:val="1"/>
      <w:numFmt w:val="lowerRoman"/>
      <w:lvlText w:val="%9."/>
      <w:lvlJc w:val="right"/>
      <w:pPr>
        <w:ind w:left="8385" w:hanging="180"/>
      </w:pPr>
    </w:lvl>
  </w:abstractNum>
  <w:abstractNum w:abstractNumId="3" w15:restartNumberingAfterBreak="0">
    <w:nsid w:val="0E5626A7"/>
    <w:multiLevelType w:val="multilevel"/>
    <w:tmpl w:val="9CA6300E"/>
    <w:lvl w:ilvl="0">
      <w:start w:val="7"/>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 w15:restartNumberingAfterBreak="0">
    <w:nsid w:val="10704E32"/>
    <w:multiLevelType w:val="hybridMultilevel"/>
    <w:tmpl w:val="CF98AB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E158E2"/>
    <w:multiLevelType w:val="hybridMultilevel"/>
    <w:tmpl w:val="D94E3716"/>
    <w:lvl w:ilvl="0" w:tplc="BA500406">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15:restartNumberingAfterBreak="0">
    <w:nsid w:val="1B19382D"/>
    <w:multiLevelType w:val="multilevel"/>
    <w:tmpl w:val="0DD04DF0"/>
    <w:lvl w:ilvl="0">
      <w:start w:val="9"/>
      <w:numFmt w:val="decimal"/>
      <w:lvlText w:val="%1."/>
      <w:lvlJc w:val="left"/>
      <w:pPr>
        <w:ind w:left="360" w:hanging="360"/>
      </w:pPr>
      <w:rPr>
        <w:rFonts w:ascii="Arial" w:hAnsi="Arial" w:cs="Arial" w:hint="default"/>
        <w:b/>
        <w:sz w:val="24"/>
        <w:szCs w:val="24"/>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4898"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7" w15:restartNumberingAfterBreak="0">
    <w:nsid w:val="422B40C6"/>
    <w:multiLevelType w:val="singleLevel"/>
    <w:tmpl w:val="21D2E622"/>
    <w:lvl w:ilvl="0">
      <w:numFmt w:val="none"/>
      <w:lvlText w:val=""/>
      <w:lvlJc w:val="left"/>
      <w:pPr>
        <w:tabs>
          <w:tab w:val="num" w:pos="360"/>
        </w:tabs>
      </w:pPr>
      <w:rPr>
        <w:rFonts w:cs="Times New Roman"/>
      </w:rPr>
    </w:lvl>
  </w:abstractNum>
  <w:abstractNum w:abstractNumId="8" w15:restartNumberingAfterBreak="0">
    <w:nsid w:val="63CE240A"/>
    <w:multiLevelType w:val="multilevel"/>
    <w:tmpl w:val="7BE8DAA4"/>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9" w15:restartNumberingAfterBreak="0">
    <w:nsid w:val="7C5F2C3E"/>
    <w:multiLevelType w:val="multilevel"/>
    <w:tmpl w:val="A454B018"/>
    <w:lvl w:ilvl="0">
      <w:start w:val="4"/>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780"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num w:numId="1">
    <w:abstractNumId w:val="8"/>
  </w:num>
  <w:num w:numId="2">
    <w:abstractNumId w:val="8"/>
  </w:num>
  <w:num w:numId="3">
    <w:abstractNumId w:val="2"/>
  </w:num>
  <w:num w:numId="4">
    <w:abstractNumId w:val="1"/>
  </w:num>
  <w:num w:numId="5">
    <w:abstractNumId w:val="8"/>
  </w:num>
  <w:num w:numId="6">
    <w:abstractNumId w:val="8"/>
  </w:num>
  <w:num w:numId="7">
    <w:abstractNumId w:val="0"/>
  </w:num>
  <w:num w:numId="8">
    <w:abstractNumId w:val="5"/>
  </w:num>
  <w:num w:numId="9">
    <w:abstractNumId w:val="7"/>
  </w:num>
  <w:num w:numId="10">
    <w:abstractNumId w:val="3"/>
  </w:num>
  <w:num w:numId="11">
    <w:abstractNumId w:val="6"/>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D8C"/>
    <w:rsid w:val="00001AAC"/>
    <w:rsid w:val="00002E1B"/>
    <w:rsid w:val="00010BD4"/>
    <w:rsid w:val="00011401"/>
    <w:rsid w:val="00012160"/>
    <w:rsid w:val="00012583"/>
    <w:rsid w:val="0001459F"/>
    <w:rsid w:val="00014664"/>
    <w:rsid w:val="00014B9B"/>
    <w:rsid w:val="000231F4"/>
    <w:rsid w:val="00026AD0"/>
    <w:rsid w:val="00032494"/>
    <w:rsid w:val="00033004"/>
    <w:rsid w:val="00035986"/>
    <w:rsid w:val="00041127"/>
    <w:rsid w:val="00041B26"/>
    <w:rsid w:val="0004435B"/>
    <w:rsid w:val="000469DA"/>
    <w:rsid w:val="00047C70"/>
    <w:rsid w:val="00050F1A"/>
    <w:rsid w:val="000524F9"/>
    <w:rsid w:val="00053491"/>
    <w:rsid w:val="0005544F"/>
    <w:rsid w:val="000567D4"/>
    <w:rsid w:val="00056B42"/>
    <w:rsid w:val="0005781D"/>
    <w:rsid w:val="00061B09"/>
    <w:rsid w:val="000628DE"/>
    <w:rsid w:val="000656F5"/>
    <w:rsid w:val="0007189F"/>
    <w:rsid w:val="00072EF8"/>
    <w:rsid w:val="00073F30"/>
    <w:rsid w:val="000764E7"/>
    <w:rsid w:val="00081AC6"/>
    <w:rsid w:val="00083D1D"/>
    <w:rsid w:val="000864F4"/>
    <w:rsid w:val="00087493"/>
    <w:rsid w:val="000913D2"/>
    <w:rsid w:val="000913FC"/>
    <w:rsid w:val="000932E9"/>
    <w:rsid w:val="0009420D"/>
    <w:rsid w:val="00095563"/>
    <w:rsid w:val="00097156"/>
    <w:rsid w:val="00097B48"/>
    <w:rsid w:val="000A4474"/>
    <w:rsid w:val="000A49D9"/>
    <w:rsid w:val="000A4F88"/>
    <w:rsid w:val="000A589D"/>
    <w:rsid w:val="000A5E8D"/>
    <w:rsid w:val="000B007E"/>
    <w:rsid w:val="000B40F6"/>
    <w:rsid w:val="000B4212"/>
    <w:rsid w:val="000B4777"/>
    <w:rsid w:val="000B5A9A"/>
    <w:rsid w:val="000C482E"/>
    <w:rsid w:val="000C5821"/>
    <w:rsid w:val="000D1B42"/>
    <w:rsid w:val="000D3988"/>
    <w:rsid w:val="000E0191"/>
    <w:rsid w:val="000E1567"/>
    <w:rsid w:val="000E2CD3"/>
    <w:rsid w:val="000E34CB"/>
    <w:rsid w:val="000E5921"/>
    <w:rsid w:val="000E7668"/>
    <w:rsid w:val="000F4279"/>
    <w:rsid w:val="000F5AEF"/>
    <w:rsid w:val="000F7504"/>
    <w:rsid w:val="0010173E"/>
    <w:rsid w:val="00103703"/>
    <w:rsid w:val="00106460"/>
    <w:rsid w:val="00110007"/>
    <w:rsid w:val="00110277"/>
    <w:rsid w:val="0011218F"/>
    <w:rsid w:val="00117985"/>
    <w:rsid w:val="00120AED"/>
    <w:rsid w:val="001236AC"/>
    <w:rsid w:val="00131A39"/>
    <w:rsid w:val="0013211F"/>
    <w:rsid w:val="00132273"/>
    <w:rsid w:val="0013396F"/>
    <w:rsid w:val="00134F0D"/>
    <w:rsid w:val="0014729A"/>
    <w:rsid w:val="00154F80"/>
    <w:rsid w:val="001561E6"/>
    <w:rsid w:val="00156AC2"/>
    <w:rsid w:val="00162278"/>
    <w:rsid w:val="00165286"/>
    <w:rsid w:val="00172EFD"/>
    <w:rsid w:val="00173FF6"/>
    <w:rsid w:val="00175068"/>
    <w:rsid w:val="001818CA"/>
    <w:rsid w:val="00182F79"/>
    <w:rsid w:val="0018682F"/>
    <w:rsid w:val="0019232C"/>
    <w:rsid w:val="00192AD9"/>
    <w:rsid w:val="00193528"/>
    <w:rsid w:val="0019379C"/>
    <w:rsid w:val="001938A2"/>
    <w:rsid w:val="00197D58"/>
    <w:rsid w:val="001A0376"/>
    <w:rsid w:val="001A0A7A"/>
    <w:rsid w:val="001B12A6"/>
    <w:rsid w:val="001B1721"/>
    <w:rsid w:val="001B48C8"/>
    <w:rsid w:val="001B4ECF"/>
    <w:rsid w:val="001B63CB"/>
    <w:rsid w:val="001B728C"/>
    <w:rsid w:val="001C3BBA"/>
    <w:rsid w:val="001C61B6"/>
    <w:rsid w:val="001D0DC1"/>
    <w:rsid w:val="001D5BA0"/>
    <w:rsid w:val="001D6685"/>
    <w:rsid w:val="001E126D"/>
    <w:rsid w:val="001E3C29"/>
    <w:rsid w:val="001E7889"/>
    <w:rsid w:val="001F006D"/>
    <w:rsid w:val="001F2EFC"/>
    <w:rsid w:val="001F406E"/>
    <w:rsid w:val="001F4442"/>
    <w:rsid w:val="001F4C10"/>
    <w:rsid w:val="00200FF6"/>
    <w:rsid w:val="002017C4"/>
    <w:rsid w:val="00204A05"/>
    <w:rsid w:val="00205C20"/>
    <w:rsid w:val="00206E8D"/>
    <w:rsid w:val="00207879"/>
    <w:rsid w:val="002148A5"/>
    <w:rsid w:val="00215178"/>
    <w:rsid w:val="00216EFC"/>
    <w:rsid w:val="00226835"/>
    <w:rsid w:val="00226C44"/>
    <w:rsid w:val="0023193C"/>
    <w:rsid w:val="00237E7F"/>
    <w:rsid w:val="0024195F"/>
    <w:rsid w:val="00242B3C"/>
    <w:rsid w:val="00243024"/>
    <w:rsid w:val="00246E15"/>
    <w:rsid w:val="00247C19"/>
    <w:rsid w:val="00250920"/>
    <w:rsid w:val="00251531"/>
    <w:rsid w:val="00252DD0"/>
    <w:rsid w:val="00255341"/>
    <w:rsid w:val="00256F74"/>
    <w:rsid w:val="00262DA3"/>
    <w:rsid w:val="002631B3"/>
    <w:rsid w:val="002634B1"/>
    <w:rsid w:val="002705C0"/>
    <w:rsid w:val="002706A5"/>
    <w:rsid w:val="00271F91"/>
    <w:rsid w:val="00274CAD"/>
    <w:rsid w:val="002806EB"/>
    <w:rsid w:val="00283A7B"/>
    <w:rsid w:val="0028591F"/>
    <w:rsid w:val="00292A65"/>
    <w:rsid w:val="002946AD"/>
    <w:rsid w:val="0029775D"/>
    <w:rsid w:val="002A0B42"/>
    <w:rsid w:val="002B726D"/>
    <w:rsid w:val="002B7345"/>
    <w:rsid w:val="002B74CB"/>
    <w:rsid w:val="002C1929"/>
    <w:rsid w:val="002C27C8"/>
    <w:rsid w:val="002C447C"/>
    <w:rsid w:val="002C471E"/>
    <w:rsid w:val="002C6AFD"/>
    <w:rsid w:val="002C7754"/>
    <w:rsid w:val="002D2414"/>
    <w:rsid w:val="002D4D07"/>
    <w:rsid w:val="002D6660"/>
    <w:rsid w:val="002E24D5"/>
    <w:rsid w:val="002E4884"/>
    <w:rsid w:val="002E5528"/>
    <w:rsid w:val="002E7EF6"/>
    <w:rsid w:val="002F39B8"/>
    <w:rsid w:val="002F72B4"/>
    <w:rsid w:val="002F7C6F"/>
    <w:rsid w:val="0030135E"/>
    <w:rsid w:val="003035DF"/>
    <w:rsid w:val="003056E6"/>
    <w:rsid w:val="003061AE"/>
    <w:rsid w:val="00306BBD"/>
    <w:rsid w:val="003113E3"/>
    <w:rsid w:val="003144CF"/>
    <w:rsid w:val="00315B0C"/>
    <w:rsid w:val="003167AB"/>
    <w:rsid w:val="003216F6"/>
    <w:rsid w:val="00321D9A"/>
    <w:rsid w:val="00322DB9"/>
    <w:rsid w:val="00326FCC"/>
    <w:rsid w:val="00332838"/>
    <w:rsid w:val="00333AC8"/>
    <w:rsid w:val="00333D8C"/>
    <w:rsid w:val="00337B11"/>
    <w:rsid w:val="00343D92"/>
    <w:rsid w:val="00346275"/>
    <w:rsid w:val="003462B6"/>
    <w:rsid w:val="00347875"/>
    <w:rsid w:val="003502ED"/>
    <w:rsid w:val="003509FF"/>
    <w:rsid w:val="003530AE"/>
    <w:rsid w:val="00354EFB"/>
    <w:rsid w:val="00355F51"/>
    <w:rsid w:val="00364912"/>
    <w:rsid w:val="00367A26"/>
    <w:rsid w:val="00367DFF"/>
    <w:rsid w:val="00370090"/>
    <w:rsid w:val="003748F8"/>
    <w:rsid w:val="00376B47"/>
    <w:rsid w:val="00381ADB"/>
    <w:rsid w:val="003871EF"/>
    <w:rsid w:val="00393298"/>
    <w:rsid w:val="00397704"/>
    <w:rsid w:val="003A1CC8"/>
    <w:rsid w:val="003A5215"/>
    <w:rsid w:val="003A62DB"/>
    <w:rsid w:val="003A632A"/>
    <w:rsid w:val="003B09AF"/>
    <w:rsid w:val="003B2CE6"/>
    <w:rsid w:val="003B46C3"/>
    <w:rsid w:val="003B5BEC"/>
    <w:rsid w:val="003B62D7"/>
    <w:rsid w:val="003B62EE"/>
    <w:rsid w:val="003C1A81"/>
    <w:rsid w:val="003C1EEB"/>
    <w:rsid w:val="003C332D"/>
    <w:rsid w:val="003C59C7"/>
    <w:rsid w:val="003C758D"/>
    <w:rsid w:val="003D0D6A"/>
    <w:rsid w:val="003D0E83"/>
    <w:rsid w:val="003D1974"/>
    <w:rsid w:val="003D4FCC"/>
    <w:rsid w:val="003D55DE"/>
    <w:rsid w:val="003F02C9"/>
    <w:rsid w:val="003F393F"/>
    <w:rsid w:val="003F3A8B"/>
    <w:rsid w:val="003F7E29"/>
    <w:rsid w:val="00400A62"/>
    <w:rsid w:val="004021A7"/>
    <w:rsid w:val="0040256A"/>
    <w:rsid w:val="00402576"/>
    <w:rsid w:val="00403720"/>
    <w:rsid w:val="00403A52"/>
    <w:rsid w:val="00403A9C"/>
    <w:rsid w:val="00403CFE"/>
    <w:rsid w:val="00411C8B"/>
    <w:rsid w:val="00412CFA"/>
    <w:rsid w:val="00423E3B"/>
    <w:rsid w:val="0042597E"/>
    <w:rsid w:val="0042709D"/>
    <w:rsid w:val="004302B0"/>
    <w:rsid w:val="00430C10"/>
    <w:rsid w:val="00433973"/>
    <w:rsid w:val="0044095D"/>
    <w:rsid w:val="00441D02"/>
    <w:rsid w:val="00451614"/>
    <w:rsid w:val="00451BFF"/>
    <w:rsid w:val="00452158"/>
    <w:rsid w:val="00456ECB"/>
    <w:rsid w:val="00463340"/>
    <w:rsid w:val="004677E8"/>
    <w:rsid w:val="00471098"/>
    <w:rsid w:val="00471F4D"/>
    <w:rsid w:val="00472215"/>
    <w:rsid w:val="00472623"/>
    <w:rsid w:val="00476E10"/>
    <w:rsid w:val="0047718B"/>
    <w:rsid w:val="00477330"/>
    <w:rsid w:val="004809C8"/>
    <w:rsid w:val="00481DBE"/>
    <w:rsid w:val="00484D61"/>
    <w:rsid w:val="00490984"/>
    <w:rsid w:val="00493466"/>
    <w:rsid w:val="004959DA"/>
    <w:rsid w:val="004961DF"/>
    <w:rsid w:val="00497E06"/>
    <w:rsid w:val="004A1C1B"/>
    <w:rsid w:val="004A2ED3"/>
    <w:rsid w:val="004A4C0F"/>
    <w:rsid w:val="004B1593"/>
    <w:rsid w:val="004B2D2B"/>
    <w:rsid w:val="004B317F"/>
    <w:rsid w:val="004B35A1"/>
    <w:rsid w:val="004B7180"/>
    <w:rsid w:val="004C39F3"/>
    <w:rsid w:val="004C510B"/>
    <w:rsid w:val="004C5C66"/>
    <w:rsid w:val="004D6F37"/>
    <w:rsid w:val="004E1778"/>
    <w:rsid w:val="004E7E99"/>
    <w:rsid w:val="004F1D47"/>
    <w:rsid w:val="004F6968"/>
    <w:rsid w:val="0050107B"/>
    <w:rsid w:val="0050260A"/>
    <w:rsid w:val="005026C2"/>
    <w:rsid w:val="00504F7C"/>
    <w:rsid w:val="00505076"/>
    <w:rsid w:val="00506C5F"/>
    <w:rsid w:val="00510973"/>
    <w:rsid w:val="00515B47"/>
    <w:rsid w:val="00516119"/>
    <w:rsid w:val="00516DB1"/>
    <w:rsid w:val="005170F1"/>
    <w:rsid w:val="005247FE"/>
    <w:rsid w:val="00531746"/>
    <w:rsid w:val="00533771"/>
    <w:rsid w:val="005344E6"/>
    <w:rsid w:val="00534E59"/>
    <w:rsid w:val="0053519B"/>
    <w:rsid w:val="00535DB2"/>
    <w:rsid w:val="00536F61"/>
    <w:rsid w:val="005370AB"/>
    <w:rsid w:val="005377E2"/>
    <w:rsid w:val="00540082"/>
    <w:rsid w:val="005401EB"/>
    <w:rsid w:val="0054227E"/>
    <w:rsid w:val="00545BC9"/>
    <w:rsid w:val="005476E1"/>
    <w:rsid w:val="00547C64"/>
    <w:rsid w:val="00552948"/>
    <w:rsid w:val="005534D8"/>
    <w:rsid w:val="00555313"/>
    <w:rsid w:val="00557154"/>
    <w:rsid w:val="005603F2"/>
    <w:rsid w:val="005661AE"/>
    <w:rsid w:val="005668E7"/>
    <w:rsid w:val="00567C40"/>
    <w:rsid w:val="00570403"/>
    <w:rsid w:val="00573A18"/>
    <w:rsid w:val="00576CD7"/>
    <w:rsid w:val="00576E59"/>
    <w:rsid w:val="005811BA"/>
    <w:rsid w:val="00582895"/>
    <w:rsid w:val="00584954"/>
    <w:rsid w:val="0058645F"/>
    <w:rsid w:val="005864CB"/>
    <w:rsid w:val="00592869"/>
    <w:rsid w:val="005928E8"/>
    <w:rsid w:val="005969A5"/>
    <w:rsid w:val="005A3236"/>
    <w:rsid w:val="005A3316"/>
    <w:rsid w:val="005B6913"/>
    <w:rsid w:val="005C19DE"/>
    <w:rsid w:val="005C213B"/>
    <w:rsid w:val="005C2AD4"/>
    <w:rsid w:val="005C6041"/>
    <w:rsid w:val="005C6CEF"/>
    <w:rsid w:val="005C72B6"/>
    <w:rsid w:val="005C7ABD"/>
    <w:rsid w:val="005C7AC9"/>
    <w:rsid w:val="005D141B"/>
    <w:rsid w:val="005D3F18"/>
    <w:rsid w:val="005D46DA"/>
    <w:rsid w:val="005D6482"/>
    <w:rsid w:val="005D74C9"/>
    <w:rsid w:val="005E036D"/>
    <w:rsid w:val="005E4ECF"/>
    <w:rsid w:val="005E5371"/>
    <w:rsid w:val="005E589F"/>
    <w:rsid w:val="005E64E7"/>
    <w:rsid w:val="005F248E"/>
    <w:rsid w:val="005F6DAC"/>
    <w:rsid w:val="00601249"/>
    <w:rsid w:val="00601C4B"/>
    <w:rsid w:val="00601EEA"/>
    <w:rsid w:val="00603161"/>
    <w:rsid w:val="006032C9"/>
    <w:rsid w:val="006048FD"/>
    <w:rsid w:val="006050BB"/>
    <w:rsid w:val="00605C99"/>
    <w:rsid w:val="00606615"/>
    <w:rsid w:val="00615A7C"/>
    <w:rsid w:val="00620AF3"/>
    <w:rsid w:val="00621142"/>
    <w:rsid w:val="00622843"/>
    <w:rsid w:val="00626764"/>
    <w:rsid w:val="006307EB"/>
    <w:rsid w:val="00631F36"/>
    <w:rsid w:val="00632B2E"/>
    <w:rsid w:val="00633702"/>
    <w:rsid w:val="00634927"/>
    <w:rsid w:val="00634B32"/>
    <w:rsid w:val="00635228"/>
    <w:rsid w:val="0063576C"/>
    <w:rsid w:val="00635842"/>
    <w:rsid w:val="00636CB2"/>
    <w:rsid w:val="00640E6E"/>
    <w:rsid w:val="006410FB"/>
    <w:rsid w:val="006417FF"/>
    <w:rsid w:val="006427CE"/>
    <w:rsid w:val="00647D8C"/>
    <w:rsid w:val="006506EE"/>
    <w:rsid w:val="0065540C"/>
    <w:rsid w:val="006612A4"/>
    <w:rsid w:val="00664EA4"/>
    <w:rsid w:val="00665A86"/>
    <w:rsid w:val="00665D6D"/>
    <w:rsid w:val="006665DE"/>
    <w:rsid w:val="00666741"/>
    <w:rsid w:val="006673C4"/>
    <w:rsid w:val="00671F5E"/>
    <w:rsid w:val="006742EE"/>
    <w:rsid w:val="006748A2"/>
    <w:rsid w:val="00674B43"/>
    <w:rsid w:val="006761B0"/>
    <w:rsid w:val="0068041E"/>
    <w:rsid w:val="00684816"/>
    <w:rsid w:val="00684EA2"/>
    <w:rsid w:val="00691801"/>
    <w:rsid w:val="006925CA"/>
    <w:rsid w:val="00694559"/>
    <w:rsid w:val="006A12A9"/>
    <w:rsid w:val="006A1943"/>
    <w:rsid w:val="006A205C"/>
    <w:rsid w:val="006A71E0"/>
    <w:rsid w:val="006B105D"/>
    <w:rsid w:val="006B1CD9"/>
    <w:rsid w:val="006B2AA2"/>
    <w:rsid w:val="006B2C68"/>
    <w:rsid w:val="006B5BEA"/>
    <w:rsid w:val="006C368C"/>
    <w:rsid w:val="006C385C"/>
    <w:rsid w:val="006C54E0"/>
    <w:rsid w:val="006D0BD8"/>
    <w:rsid w:val="006D1AA9"/>
    <w:rsid w:val="006D3798"/>
    <w:rsid w:val="006D545D"/>
    <w:rsid w:val="006D5AEF"/>
    <w:rsid w:val="006E181A"/>
    <w:rsid w:val="006E1D08"/>
    <w:rsid w:val="006E366B"/>
    <w:rsid w:val="006E4F02"/>
    <w:rsid w:val="006E75DF"/>
    <w:rsid w:val="00701B0A"/>
    <w:rsid w:val="00704A13"/>
    <w:rsid w:val="007062A7"/>
    <w:rsid w:val="00706AEA"/>
    <w:rsid w:val="00711707"/>
    <w:rsid w:val="007149AC"/>
    <w:rsid w:val="007151F9"/>
    <w:rsid w:val="00715FB3"/>
    <w:rsid w:val="007163B2"/>
    <w:rsid w:val="00720558"/>
    <w:rsid w:val="007221BE"/>
    <w:rsid w:val="00723CA3"/>
    <w:rsid w:val="0072452B"/>
    <w:rsid w:val="0072546E"/>
    <w:rsid w:val="007305B2"/>
    <w:rsid w:val="00730914"/>
    <w:rsid w:val="00731B7F"/>
    <w:rsid w:val="00732143"/>
    <w:rsid w:val="007335AA"/>
    <w:rsid w:val="00734AE4"/>
    <w:rsid w:val="00734D6A"/>
    <w:rsid w:val="007415FA"/>
    <w:rsid w:val="00741B6B"/>
    <w:rsid w:val="00745227"/>
    <w:rsid w:val="00747085"/>
    <w:rsid w:val="00750DB1"/>
    <w:rsid w:val="0075102C"/>
    <w:rsid w:val="00754DB8"/>
    <w:rsid w:val="007554EA"/>
    <w:rsid w:val="00757088"/>
    <w:rsid w:val="0076328B"/>
    <w:rsid w:val="00766623"/>
    <w:rsid w:val="0077256A"/>
    <w:rsid w:val="00777643"/>
    <w:rsid w:val="00777681"/>
    <w:rsid w:val="00782BF9"/>
    <w:rsid w:val="007849C8"/>
    <w:rsid w:val="007925F4"/>
    <w:rsid w:val="007A705C"/>
    <w:rsid w:val="007A707E"/>
    <w:rsid w:val="007B06B0"/>
    <w:rsid w:val="007C15FB"/>
    <w:rsid w:val="007C17FD"/>
    <w:rsid w:val="007D17D5"/>
    <w:rsid w:val="007D1CD6"/>
    <w:rsid w:val="007D763C"/>
    <w:rsid w:val="007E2440"/>
    <w:rsid w:val="007E4484"/>
    <w:rsid w:val="007E4AAC"/>
    <w:rsid w:val="007F18DC"/>
    <w:rsid w:val="007F2069"/>
    <w:rsid w:val="007F30DD"/>
    <w:rsid w:val="007F3246"/>
    <w:rsid w:val="007F6BD2"/>
    <w:rsid w:val="008007F8"/>
    <w:rsid w:val="00807B9A"/>
    <w:rsid w:val="008101E3"/>
    <w:rsid w:val="008127DA"/>
    <w:rsid w:val="0082123E"/>
    <w:rsid w:val="00826B94"/>
    <w:rsid w:val="00827886"/>
    <w:rsid w:val="00836C7C"/>
    <w:rsid w:val="00837BD0"/>
    <w:rsid w:val="00841504"/>
    <w:rsid w:val="00843C68"/>
    <w:rsid w:val="00843D9F"/>
    <w:rsid w:val="00844027"/>
    <w:rsid w:val="00844464"/>
    <w:rsid w:val="00845BB4"/>
    <w:rsid w:val="0084613A"/>
    <w:rsid w:val="00846B5A"/>
    <w:rsid w:val="0085164B"/>
    <w:rsid w:val="008555F3"/>
    <w:rsid w:val="00857A11"/>
    <w:rsid w:val="00861BDF"/>
    <w:rsid w:val="008662C4"/>
    <w:rsid w:val="008675C1"/>
    <w:rsid w:val="00867782"/>
    <w:rsid w:val="00870F0F"/>
    <w:rsid w:val="00874D90"/>
    <w:rsid w:val="00875CEC"/>
    <w:rsid w:val="0087614D"/>
    <w:rsid w:val="00880838"/>
    <w:rsid w:val="00883476"/>
    <w:rsid w:val="0088357E"/>
    <w:rsid w:val="008940AE"/>
    <w:rsid w:val="00894B71"/>
    <w:rsid w:val="00896A24"/>
    <w:rsid w:val="008A07A9"/>
    <w:rsid w:val="008A29D6"/>
    <w:rsid w:val="008A4AAA"/>
    <w:rsid w:val="008A502A"/>
    <w:rsid w:val="008A5146"/>
    <w:rsid w:val="008A52F1"/>
    <w:rsid w:val="008A6CDF"/>
    <w:rsid w:val="008A729C"/>
    <w:rsid w:val="008B3038"/>
    <w:rsid w:val="008B37CF"/>
    <w:rsid w:val="008C2498"/>
    <w:rsid w:val="008C4B2D"/>
    <w:rsid w:val="008C6D65"/>
    <w:rsid w:val="008D3918"/>
    <w:rsid w:val="008D5D4C"/>
    <w:rsid w:val="008E0E34"/>
    <w:rsid w:val="008E2342"/>
    <w:rsid w:val="008F0800"/>
    <w:rsid w:val="008F5A53"/>
    <w:rsid w:val="009009EF"/>
    <w:rsid w:val="00904B09"/>
    <w:rsid w:val="0090581E"/>
    <w:rsid w:val="00910145"/>
    <w:rsid w:val="00912E89"/>
    <w:rsid w:val="00916FE3"/>
    <w:rsid w:val="00920B38"/>
    <w:rsid w:val="00930B22"/>
    <w:rsid w:val="009346E2"/>
    <w:rsid w:val="009347E5"/>
    <w:rsid w:val="00935700"/>
    <w:rsid w:val="00940420"/>
    <w:rsid w:val="00942F41"/>
    <w:rsid w:val="0094553B"/>
    <w:rsid w:val="00945F92"/>
    <w:rsid w:val="009540C4"/>
    <w:rsid w:val="009548FE"/>
    <w:rsid w:val="0096314C"/>
    <w:rsid w:val="009660B9"/>
    <w:rsid w:val="00966471"/>
    <w:rsid w:val="0097448D"/>
    <w:rsid w:val="00976230"/>
    <w:rsid w:val="00980E26"/>
    <w:rsid w:val="0098179E"/>
    <w:rsid w:val="00983ADA"/>
    <w:rsid w:val="0099033E"/>
    <w:rsid w:val="00995C12"/>
    <w:rsid w:val="00996AA4"/>
    <w:rsid w:val="0099725A"/>
    <w:rsid w:val="009A004D"/>
    <w:rsid w:val="009A0C68"/>
    <w:rsid w:val="009A0CE1"/>
    <w:rsid w:val="009A6ACF"/>
    <w:rsid w:val="009A76B3"/>
    <w:rsid w:val="009B38F9"/>
    <w:rsid w:val="009C0667"/>
    <w:rsid w:val="009C0F45"/>
    <w:rsid w:val="009C121B"/>
    <w:rsid w:val="009C1E9F"/>
    <w:rsid w:val="009C35F7"/>
    <w:rsid w:val="009C3CD5"/>
    <w:rsid w:val="009C4B54"/>
    <w:rsid w:val="009C53C3"/>
    <w:rsid w:val="009C6894"/>
    <w:rsid w:val="009D3C29"/>
    <w:rsid w:val="009D5E61"/>
    <w:rsid w:val="009D6548"/>
    <w:rsid w:val="009D7249"/>
    <w:rsid w:val="009E1475"/>
    <w:rsid w:val="009E287D"/>
    <w:rsid w:val="009E5B33"/>
    <w:rsid w:val="009E6647"/>
    <w:rsid w:val="009F029A"/>
    <w:rsid w:val="009F27D2"/>
    <w:rsid w:val="009F5981"/>
    <w:rsid w:val="009F64B0"/>
    <w:rsid w:val="009F65C6"/>
    <w:rsid w:val="00A00F28"/>
    <w:rsid w:val="00A04FC9"/>
    <w:rsid w:val="00A063FA"/>
    <w:rsid w:val="00A06818"/>
    <w:rsid w:val="00A071C0"/>
    <w:rsid w:val="00A114E9"/>
    <w:rsid w:val="00A11734"/>
    <w:rsid w:val="00A144C5"/>
    <w:rsid w:val="00A17A6E"/>
    <w:rsid w:val="00A258B8"/>
    <w:rsid w:val="00A25F29"/>
    <w:rsid w:val="00A2703A"/>
    <w:rsid w:val="00A3014C"/>
    <w:rsid w:val="00A30673"/>
    <w:rsid w:val="00A36343"/>
    <w:rsid w:val="00A375BB"/>
    <w:rsid w:val="00A37CDE"/>
    <w:rsid w:val="00A40EE7"/>
    <w:rsid w:val="00A42CEF"/>
    <w:rsid w:val="00A50775"/>
    <w:rsid w:val="00A50C1E"/>
    <w:rsid w:val="00A5156B"/>
    <w:rsid w:val="00A518B6"/>
    <w:rsid w:val="00A54852"/>
    <w:rsid w:val="00A54EBE"/>
    <w:rsid w:val="00A56900"/>
    <w:rsid w:val="00A56E8B"/>
    <w:rsid w:val="00A57929"/>
    <w:rsid w:val="00A6266A"/>
    <w:rsid w:val="00A633C9"/>
    <w:rsid w:val="00A65B3D"/>
    <w:rsid w:val="00A7140C"/>
    <w:rsid w:val="00A74271"/>
    <w:rsid w:val="00A7461B"/>
    <w:rsid w:val="00A75170"/>
    <w:rsid w:val="00A7655F"/>
    <w:rsid w:val="00A834AC"/>
    <w:rsid w:val="00A87CEC"/>
    <w:rsid w:val="00A92BE3"/>
    <w:rsid w:val="00A930A7"/>
    <w:rsid w:val="00A93FE3"/>
    <w:rsid w:val="00A95217"/>
    <w:rsid w:val="00A95888"/>
    <w:rsid w:val="00A96D87"/>
    <w:rsid w:val="00A97E2D"/>
    <w:rsid w:val="00AA1A47"/>
    <w:rsid w:val="00AA1D3A"/>
    <w:rsid w:val="00AA24DB"/>
    <w:rsid w:val="00AA3C6E"/>
    <w:rsid w:val="00AA4464"/>
    <w:rsid w:val="00AA4ABB"/>
    <w:rsid w:val="00AA52B4"/>
    <w:rsid w:val="00AA68FC"/>
    <w:rsid w:val="00AA71E0"/>
    <w:rsid w:val="00AB0AA4"/>
    <w:rsid w:val="00AB1B4D"/>
    <w:rsid w:val="00AC12B8"/>
    <w:rsid w:val="00AC1B90"/>
    <w:rsid w:val="00AC36B7"/>
    <w:rsid w:val="00AC4939"/>
    <w:rsid w:val="00AD0B28"/>
    <w:rsid w:val="00AE0E15"/>
    <w:rsid w:val="00AE350E"/>
    <w:rsid w:val="00AE3931"/>
    <w:rsid w:val="00AE3B4F"/>
    <w:rsid w:val="00AE6033"/>
    <w:rsid w:val="00AE6C1A"/>
    <w:rsid w:val="00AE75E6"/>
    <w:rsid w:val="00AF387A"/>
    <w:rsid w:val="00AF41A5"/>
    <w:rsid w:val="00AF793F"/>
    <w:rsid w:val="00B01A26"/>
    <w:rsid w:val="00B03B5A"/>
    <w:rsid w:val="00B1064D"/>
    <w:rsid w:val="00B110EE"/>
    <w:rsid w:val="00B12C35"/>
    <w:rsid w:val="00B13070"/>
    <w:rsid w:val="00B1535F"/>
    <w:rsid w:val="00B1580E"/>
    <w:rsid w:val="00B20435"/>
    <w:rsid w:val="00B21687"/>
    <w:rsid w:val="00B22782"/>
    <w:rsid w:val="00B26C3A"/>
    <w:rsid w:val="00B272D4"/>
    <w:rsid w:val="00B30532"/>
    <w:rsid w:val="00B311A6"/>
    <w:rsid w:val="00B331B8"/>
    <w:rsid w:val="00B34A6C"/>
    <w:rsid w:val="00B350B7"/>
    <w:rsid w:val="00B3532B"/>
    <w:rsid w:val="00B35860"/>
    <w:rsid w:val="00B37B8B"/>
    <w:rsid w:val="00B4036D"/>
    <w:rsid w:val="00B41191"/>
    <w:rsid w:val="00B4754C"/>
    <w:rsid w:val="00B50B79"/>
    <w:rsid w:val="00B52F50"/>
    <w:rsid w:val="00B61129"/>
    <w:rsid w:val="00B62A0C"/>
    <w:rsid w:val="00B62EB7"/>
    <w:rsid w:val="00B62F50"/>
    <w:rsid w:val="00B647CF"/>
    <w:rsid w:val="00B65367"/>
    <w:rsid w:val="00B653F6"/>
    <w:rsid w:val="00B659B7"/>
    <w:rsid w:val="00B66D03"/>
    <w:rsid w:val="00B708D9"/>
    <w:rsid w:val="00B70961"/>
    <w:rsid w:val="00B73D5F"/>
    <w:rsid w:val="00B73F5D"/>
    <w:rsid w:val="00B76220"/>
    <w:rsid w:val="00B76C62"/>
    <w:rsid w:val="00B8256D"/>
    <w:rsid w:val="00B83290"/>
    <w:rsid w:val="00B85422"/>
    <w:rsid w:val="00B85A90"/>
    <w:rsid w:val="00B8645C"/>
    <w:rsid w:val="00B87527"/>
    <w:rsid w:val="00B916DB"/>
    <w:rsid w:val="00B91B5E"/>
    <w:rsid w:val="00B931D7"/>
    <w:rsid w:val="00B9374E"/>
    <w:rsid w:val="00B96A6A"/>
    <w:rsid w:val="00B974A5"/>
    <w:rsid w:val="00BA1B46"/>
    <w:rsid w:val="00BA577D"/>
    <w:rsid w:val="00BA5D12"/>
    <w:rsid w:val="00BA76D3"/>
    <w:rsid w:val="00BA7A56"/>
    <w:rsid w:val="00BB1B24"/>
    <w:rsid w:val="00BB3FAF"/>
    <w:rsid w:val="00BB751D"/>
    <w:rsid w:val="00BC2AA0"/>
    <w:rsid w:val="00BC341E"/>
    <w:rsid w:val="00BC48A5"/>
    <w:rsid w:val="00BD17EA"/>
    <w:rsid w:val="00BD4DC2"/>
    <w:rsid w:val="00BE1B31"/>
    <w:rsid w:val="00BE30D5"/>
    <w:rsid w:val="00BE35A9"/>
    <w:rsid w:val="00BE5E38"/>
    <w:rsid w:val="00BE76B8"/>
    <w:rsid w:val="00BF23BE"/>
    <w:rsid w:val="00BF63AA"/>
    <w:rsid w:val="00BF671A"/>
    <w:rsid w:val="00C01443"/>
    <w:rsid w:val="00C1375A"/>
    <w:rsid w:val="00C27C89"/>
    <w:rsid w:val="00C30600"/>
    <w:rsid w:val="00C34750"/>
    <w:rsid w:val="00C40B4B"/>
    <w:rsid w:val="00C43C7F"/>
    <w:rsid w:val="00C46509"/>
    <w:rsid w:val="00C5416A"/>
    <w:rsid w:val="00C556F0"/>
    <w:rsid w:val="00C56A5E"/>
    <w:rsid w:val="00C605F7"/>
    <w:rsid w:val="00C60600"/>
    <w:rsid w:val="00C63CC2"/>
    <w:rsid w:val="00C671CB"/>
    <w:rsid w:val="00C67C70"/>
    <w:rsid w:val="00C70CFE"/>
    <w:rsid w:val="00C72778"/>
    <w:rsid w:val="00C74131"/>
    <w:rsid w:val="00C75291"/>
    <w:rsid w:val="00C80AAA"/>
    <w:rsid w:val="00C81DC1"/>
    <w:rsid w:val="00C9188A"/>
    <w:rsid w:val="00C96209"/>
    <w:rsid w:val="00C96456"/>
    <w:rsid w:val="00C97EAD"/>
    <w:rsid w:val="00CB0025"/>
    <w:rsid w:val="00CB0B8E"/>
    <w:rsid w:val="00CB1AA6"/>
    <w:rsid w:val="00CB21BE"/>
    <w:rsid w:val="00CB3E15"/>
    <w:rsid w:val="00CB4600"/>
    <w:rsid w:val="00CB601F"/>
    <w:rsid w:val="00CB785E"/>
    <w:rsid w:val="00CB7BC8"/>
    <w:rsid w:val="00CC062E"/>
    <w:rsid w:val="00CC0FF8"/>
    <w:rsid w:val="00CC34AD"/>
    <w:rsid w:val="00CD1913"/>
    <w:rsid w:val="00CE0D46"/>
    <w:rsid w:val="00CE5E25"/>
    <w:rsid w:val="00CE7E3D"/>
    <w:rsid w:val="00CF0FC3"/>
    <w:rsid w:val="00CF14C0"/>
    <w:rsid w:val="00CF3346"/>
    <w:rsid w:val="00CF347C"/>
    <w:rsid w:val="00CF4D07"/>
    <w:rsid w:val="00CF5632"/>
    <w:rsid w:val="00D011D5"/>
    <w:rsid w:val="00D07A6E"/>
    <w:rsid w:val="00D155FF"/>
    <w:rsid w:val="00D17140"/>
    <w:rsid w:val="00D266D7"/>
    <w:rsid w:val="00D30BD2"/>
    <w:rsid w:val="00D313E5"/>
    <w:rsid w:val="00D327BB"/>
    <w:rsid w:val="00D35386"/>
    <w:rsid w:val="00D36A3B"/>
    <w:rsid w:val="00D372FE"/>
    <w:rsid w:val="00D432ED"/>
    <w:rsid w:val="00D5150D"/>
    <w:rsid w:val="00D531F1"/>
    <w:rsid w:val="00D546DD"/>
    <w:rsid w:val="00D551AA"/>
    <w:rsid w:val="00D57B3E"/>
    <w:rsid w:val="00D603F4"/>
    <w:rsid w:val="00D71360"/>
    <w:rsid w:val="00D72689"/>
    <w:rsid w:val="00D762CE"/>
    <w:rsid w:val="00D80D61"/>
    <w:rsid w:val="00D81C0D"/>
    <w:rsid w:val="00D82909"/>
    <w:rsid w:val="00D8453E"/>
    <w:rsid w:val="00D84BC1"/>
    <w:rsid w:val="00D862A7"/>
    <w:rsid w:val="00D918DC"/>
    <w:rsid w:val="00D92388"/>
    <w:rsid w:val="00D93271"/>
    <w:rsid w:val="00D93768"/>
    <w:rsid w:val="00D93AE3"/>
    <w:rsid w:val="00DA01BB"/>
    <w:rsid w:val="00DA4EDE"/>
    <w:rsid w:val="00DA72FE"/>
    <w:rsid w:val="00DB0661"/>
    <w:rsid w:val="00DB31A6"/>
    <w:rsid w:val="00DB6267"/>
    <w:rsid w:val="00DB7AA9"/>
    <w:rsid w:val="00DC085F"/>
    <w:rsid w:val="00DC2288"/>
    <w:rsid w:val="00DC3712"/>
    <w:rsid w:val="00DC4C75"/>
    <w:rsid w:val="00DC5017"/>
    <w:rsid w:val="00DD0517"/>
    <w:rsid w:val="00DD1557"/>
    <w:rsid w:val="00DE437C"/>
    <w:rsid w:val="00DF3F82"/>
    <w:rsid w:val="00DF73C4"/>
    <w:rsid w:val="00E00A55"/>
    <w:rsid w:val="00E05AAD"/>
    <w:rsid w:val="00E07EAD"/>
    <w:rsid w:val="00E11C49"/>
    <w:rsid w:val="00E16FD6"/>
    <w:rsid w:val="00E26D30"/>
    <w:rsid w:val="00E27126"/>
    <w:rsid w:val="00E27A98"/>
    <w:rsid w:val="00E27F8A"/>
    <w:rsid w:val="00E353ED"/>
    <w:rsid w:val="00E369CD"/>
    <w:rsid w:val="00E40F8C"/>
    <w:rsid w:val="00E4379F"/>
    <w:rsid w:val="00E44B96"/>
    <w:rsid w:val="00E463B4"/>
    <w:rsid w:val="00E47708"/>
    <w:rsid w:val="00E54482"/>
    <w:rsid w:val="00E54642"/>
    <w:rsid w:val="00E561EE"/>
    <w:rsid w:val="00E60416"/>
    <w:rsid w:val="00E6101B"/>
    <w:rsid w:val="00E72A5D"/>
    <w:rsid w:val="00E77861"/>
    <w:rsid w:val="00E83075"/>
    <w:rsid w:val="00E83355"/>
    <w:rsid w:val="00E84D23"/>
    <w:rsid w:val="00E874FA"/>
    <w:rsid w:val="00E92267"/>
    <w:rsid w:val="00E94AC8"/>
    <w:rsid w:val="00E94FE4"/>
    <w:rsid w:val="00E9702C"/>
    <w:rsid w:val="00EA072F"/>
    <w:rsid w:val="00EA4044"/>
    <w:rsid w:val="00EA65B5"/>
    <w:rsid w:val="00EB0AE9"/>
    <w:rsid w:val="00EB588F"/>
    <w:rsid w:val="00EC6EE1"/>
    <w:rsid w:val="00ED0552"/>
    <w:rsid w:val="00ED1373"/>
    <w:rsid w:val="00ED610B"/>
    <w:rsid w:val="00ED6409"/>
    <w:rsid w:val="00EE6206"/>
    <w:rsid w:val="00EF0632"/>
    <w:rsid w:val="00EF220A"/>
    <w:rsid w:val="00EF3FAC"/>
    <w:rsid w:val="00EF4D9F"/>
    <w:rsid w:val="00EF6297"/>
    <w:rsid w:val="00F02DBF"/>
    <w:rsid w:val="00F05270"/>
    <w:rsid w:val="00F11E02"/>
    <w:rsid w:val="00F17255"/>
    <w:rsid w:val="00F17803"/>
    <w:rsid w:val="00F17FF2"/>
    <w:rsid w:val="00F2035A"/>
    <w:rsid w:val="00F20669"/>
    <w:rsid w:val="00F22785"/>
    <w:rsid w:val="00F24791"/>
    <w:rsid w:val="00F2617E"/>
    <w:rsid w:val="00F26CB4"/>
    <w:rsid w:val="00F27766"/>
    <w:rsid w:val="00F27C47"/>
    <w:rsid w:val="00F30159"/>
    <w:rsid w:val="00F30944"/>
    <w:rsid w:val="00F314AE"/>
    <w:rsid w:val="00F32C4F"/>
    <w:rsid w:val="00F413D5"/>
    <w:rsid w:val="00F43BA0"/>
    <w:rsid w:val="00F45245"/>
    <w:rsid w:val="00F47CA1"/>
    <w:rsid w:val="00F50963"/>
    <w:rsid w:val="00F52749"/>
    <w:rsid w:val="00F52C5F"/>
    <w:rsid w:val="00F53C79"/>
    <w:rsid w:val="00F550C5"/>
    <w:rsid w:val="00F5566D"/>
    <w:rsid w:val="00F5589F"/>
    <w:rsid w:val="00F64D6B"/>
    <w:rsid w:val="00F70F75"/>
    <w:rsid w:val="00F73586"/>
    <w:rsid w:val="00F751CB"/>
    <w:rsid w:val="00F77118"/>
    <w:rsid w:val="00F772AF"/>
    <w:rsid w:val="00F80DCD"/>
    <w:rsid w:val="00F8199D"/>
    <w:rsid w:val="00F83916"/>
    <w:rsid w:val="00F83BF1"/>
    <w:rsid w:val="00F92D4B"/>
    <w:rsid w:val="00F96D6C"/>
    <w:rsid w:val="00F970B7"/>
    <w:rsid w:val="00F97269"/>
    <w:rsid w:val="00F97AE6"/>
    <w:rsid w:val="00FB3399"/>
    <w:rsid w:val="00FB5FA0"/>
    <w:rsid w:val="00FB743E"/>
    <w:rsid w:val="00FC13AB"/>
    <w:rsid w:val="00FC508C"/>
    <w:rsid w:val="00FD5D74"/>
    <w:rsid w:val="00FD69BA"/>
    <w:rsid w:val="00FE135F"/>
    <w:rsid w:val="00FE4299"/>
    <w:rsid w:val="00FE7ADD"/>
    <w:rsid w:val="00FE7E24"/>
    <w:rsid w:val="00FF02FC"/>
    <w:rsid w:val="00FF2CDA"/>
    <w:rsid w:val="00FF39C2"/>
    <w:rsid w:val="00FF4202"/>
    <w:rsid w:val="00FF5C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81F429B"/>
  <w15:docId w15:val="{B7FAABB8-95AE-43CC-AE7F-F3E5F267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Padro"/>
    <w:next w:val="Padro"/>
    <w:link w:val="Ttulo1Char"/>
    <w:pPr>
      <w:keepNext/>
      <w:numPr>
        <w:numId w:val="1"/>
      </w:numPr>
      <w:jc w:val="both"/>
      <w:outlineLvl w:val="0"/>
    </w:pPr>
    <w:rPr>
      <w:b/>
      <w:i/>
      <w:sz w:val="28"/>
    </w:rPr>
  </w:style>
  <w:style w:type="paragraph" w:styleId="Ttulo2">
    <w:name w:val="heading 2"/>
    <w:basedOn w:val="Padro"/>
    <w:next w:val="Padro"/>
    <w:pPr>
      <w:keepNext/>
      <w:numPr>
        <w:ilvl w:val="1"/>
        <w:numId w:val="1"/>
      </w:numPr>
      <w:jc w:val="center"/>
      <w:outlineLvl w:val="1"/>
    </w:pPr>
    <w:rPr>
      <w:b/>
      <w:i/>
      <w:sz w:val="32"/>
    </w:rPr>
  </w:style>
  <w:style w:type="paragraph" w:styleId="Ttulo3">
    <w:name w:val="heading 3"/>
    <w:basedOn w:val="Padro"/>
    <w:next w:val="Padro"/>
    <w:pPr>
      <w:keepNext/>
      <w:numPr>
        <w:ilvl w:val="2"/>
        <w:numId w:val="1"/>
      </w:numPr>
      <w:ind w:left="3261" w:hanging="284"/>
      <w:jc w:val="both"/>
      <w:outlineLvl w:val="2"/>
    </w:pPr>
    <w:rPr>
      <w:b/>
      <w:i/>
      <w:sz w:val="28"/>
    </w:rPr>
  </w:style>
  <w:style w:type="paragraph" w:styleId="Ttulo4">
    <w:name w:val="heading 4"/>
    <w:basedOn w:val="Padro"/>
    <w:next w:val="Padro"/>
    <w:pPr>
      <w:keepNext/>
      <w:numPr>
        <w:ilvl w:val="3"/>
        <w:numId w:val="1"/>
      </w:numPr>
      <w:jc w:val="both"/>
      <w:outlineLvl w:val="3"/>
    </w:pPr>
    <w:rPr>
      <w:sz w:val="28"/>
    </w:rPr>
  </w:style>
  <w:style w:type="paragraph" w:styleId="Ttulo5">
    <w:name w:val="heading 5"/>
    <w:basedOn w:val="Padro"/>
    <w:next w:val="Padro"/>
    <w:pPr>
      <w:keepNext/>
      <w:numPr>
        <w:ilvl w:val="4"/>
        <w:numId w:val="1"/>
      </w:numPr>
      <w:jc w:val="both"/>
      <w:outlineLvl w:val="4"/>
    </w:pPr>
    <w:rPr>
      <w:sz w:val="24"/>
      <w:u w:val="single"/>
    </w:rPr>
  </w:style>
  <w:style w:type="paragraph" w:styleId="Ttulo6">
    <w:name w:val="heading 6"/>
    <w:basedOn w:val="Padro"/>
    <w:next w:val="Padro"/>
    <w:pPr>
      <w:keepNext/>
      <w:numPr>
        <w:ilvl w:val="5"/>
        <w:numId w:val="1"/>
      </w:numPr>
      <w:ind w:firstLine="2127"/>
      <w:jc w:val="both"/>
      <w:outlineLvl w:val="5"/>
    </w:pPr>
    <w:rPr>
      <w:sz w:val="24"/>
    </w:rPr>
  </w:style>
  <w:style w:type="paragraph" w:styleId="Ttulo7">
    <w:name w:val="heading 7"/>
    <w:basedOn w:val="Padro"/>
    <w:next w:val="Padro"/>
    <w:pPr>
      <w:keepNext/>
      <w:numPr>
        <w:ilvl w:val="6"/>
        <w:numId w:val="1"/>
      </w:numPr>
      <w:jc w:val="both"/>
      <w:outlineLvl w:val="6"/>
    </w:pPr>
    <w:rPr>
      <w:b/>
      <w:sz w:val="24"/>
    </w:rPr>
  </w:style>
  <w:style w:type="paragraph" w:styleId="Ttulo8">
    <w:name w:val="heading 8"/>
    <w:basedOn w:val="Padro"/>
    <w:next w:val="Padro"/>
    <w:pPr>
      <w:keepNext/>
      <w:numPr>
        <w:ilvl w:val="7"/>
        <w:numId w:val="1"/>
      </w:numPr>
      <w:outlineLvl w:val="7"/>
    </w:pPr>
    <w:rPr>
      <w:sz w:val="24"/>
    </w:rPr>
  </w:style>
  <w:style w:type="paragraph" w:styleId="Ttulo9">
    <w:name w:val="heading 9"/>
    <w:basedOn w:val="Padro"/>
    <w:next w:val="Padro"/>
    <w:pPr>
      <w:keepNext/>
      <w:numPr>
        <w:ilvl w:val="8"/>
        <w:numId w:val="1"/>
      </w:numPr>
      <w:jc w:val="center"/>
      <w:outlineLvl w:val="8"/>
    </w:pPr>
    <w:rPr>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pPr>
      <w:suppressAutoHyphens/>
    </w:pPr>
    <w:rPr>
      <w:rFonts w:ascii="Times New Roman" w:eastAsia="Times New Roman" w:hAnsi="Times New Roman" w:cs="Times New Roman"/>
      <w:sz w:val="20"/>
      <w:szCs w:val="20"/>
    </w:rPr>
  </w:style>
  <w:style w:type="paragraph" w:styleId="Ttulo">
    <w:name w:val="Title"/>
    <w:basedOn w:val="Padro"/>
    <w:next w:val="Corpodetexto"/>
    <w:pPr>
      <w:keepNext/>
      <w:spacing w:before="240" w:after="120"/>
    </w:pPr>
    <w:rPr>
      <w:rFonts w:ascii="Arial" w:eastAsia="MS Mincho" w:hAnsi="Arial" w:cs="Tahoma"/>
      <w:sz w:val="28"/>
      <w:szCs w:val="28"/>
    </w:rPr>
  </w:style>
  <w:style w:type="paragraph" w:styleId="Corpodetexto">
    <w:name w:val="Body Text"/>
    <w:basedOn w:val="Padro"/>
    <w:pPr>
      <w:spacing w:after="120"/>
    </w:pPr>
  </w:style>
  <w:style w:type="paragraph" w:customStyle="1" w:styleId="Ttuloprincipal">
    <w:name w:val="Título principal"/>
    <w:basedOn w:val="Padro"/>
    <w:next w:val="Corpodetexto"/>
    <w:pPr>
      <w:keepNext/>
      <w:spacing w:before="240" w:after="120"/>
    </w:pPr>
    <w:rPr>
      <w:rFonts w:ascii="Arial" w:eastAsia="MS Mincho" w:hAnsi="Arial" w:cs="Tahoma"/>
      <w:sz w:val="28"/>
      <w:szCs w:val="28"/>
    </w:rPr>
  </w:style>
  <w:style w:type="paragraph" w:styleId="Subttulo">
    <w:name w:val="Subtitle"/>
    <w:basedOn w:val="Ttuloprincipal"/>
    <w:next w:val="Corpodetexto"/>
    <w:pPr>
      <w:jc w:val="center"/>
    </w:pPr>
    <w:rPr>
      <w:i/>
      <w:iCs/>
    </w:rPr>
  </w:style>
  <w:style w:type="paragraph" w:styleId="Lista">
    <w:name w:val="List"/>
    <w:basedOn w:val="Corpodetexto"/>
    <w:rPr>
      <w:rFonts w:cs="Tahoma"/>
    </w:rPr>
  </w:style>
  <w:style w:type="paragraph" w:styleId="Legenda">
    <w:name w:val="caption"/>
    <w:basedOn w:val="Padro"/>
    <w:pPr>
      <w:suppressLineNumbers/>
      <w:spacing w:before="120" w:after="120"/>
    </w:pPr>
    <w:rPr>
      <w:rFonts w:cs="Tahoma"/>
      <w:i/>
      <w:iCs/>
      <w:sz w:val="24"/>
      <w:szCs w:val="24"/>
    </w:rPr>
  </w:style>
  <w:style w:type="paragraph" w:customStyle="1" w:styleId="ndice">
    <w:name w:val="Índice"/>
    <w:basedOn w:val="Padro"/>
    <w:pPr>
      <w:suppressLineNumbers/>
    </w:pPr>
    <w:rPr>
      <w:rFonts w:cs="Tahoma"/>
    </w:rPr>
  </w:style>
  <w:style w:type="paragraph" w:styleId="Cabealho">
    <w:name w:val="header"/>
    <w:basedOn w:val="Padro"/>
    <w:link w:val="CabealhoChar"/>
    <w:pPr>
      <w:tabs>
        <w:tab w:val="center" w:pos="4419"/>
        <w:tab w:val="right" w:pos="8838"/>
      </w:tabs>
    </w:pPr>
  </w:style>
  <w:style w:type="paragraph" w:styleId="Rodap">
    <w:name w:val="footer"/>
    <w:basedOn w:val="Padro"/>
    <w:pPr>
      <w:tabs>
        <w:tab w:val="center" w:pos="4419"/>
        <w:tab w:val="right" w:pos="8838"/>
      </w:tabs>
    </w:pPr>
  </w:style>
  <w:style w:type="paragraph" w:customStyle="1" w:styleId="Corpodetextorecuado">
    <w:name w:val="Corpo de texto recuado"/>
    <w:basedOn w:val="Padro"/>
    <w:pPr>
      <w:spacing w:line="480" w:lineRule="auto"/>
      <w:ind w:firstLine="2268"/>
      <w:jc w:val="both"/>
    </w:pPr>
    <w:rPr>
      <w:i/>
      <w:sz w:val="28"/>
    </w:rPr>
  </w:style>
  <w:style w:type="paragraph" w:styleId="Recuodecorpodetexto2">
    <w:name w:val="Body Text Indent 2"/>
    <w:basedOn w:val="Padro"/>
    <w:pPr>
      <w:spacing w:line="360" w:lineRule="auto"/>
      <w:ind w:firstLine="2268"/>
      <w:jc w:val="both"/>
    </w:pPr>
    <w:rPr>
      <w:sz w:val="28"/>
    </w:rPr>
  </w:style>
  <w:style w:type="paragraph" w:styleId="Recuodecorpodetexto3">
    <w:name w:val="Body Text Indent 3"/>
    <w:basedOn w:val="Padro"/>
    <w:pPr>
      <w:spacing w:line="360" w:lineRule="auto"/>
      <w:ind w:firstLine="2268"/>
      <w:jc w:val="both"/>
    </w:pPr>
    <w:rPr>
      <w:sz w:val="26"/>
    </w:rPr>
  </w:style>
  <w:style w:type="character" w:customStyle="1" w:styleId="CabealhoChar">
    <w:name w:val="Cabeçalho Char"/>
    <w:basedOn w:val="Fontepargpadro"/>
    <w:link w:val="Cabealho"/>
    <w:rsid w:val="00940420"/>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94042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0420"/>
    <w:rPr>
      <w:rFonts w:ascii="Tahoma" w:hAnsi="Tahoma" w:cs="Tahoma"/>
      <w:sz w:val="16"/>
      <w:szCs w:val="16"/>
    </w:rPr>
  </w:style>
  <w:style w:type="paragraph" w:styleId="NormalWeb">
    <w:name w:val="Normal (Web)"/>
    <w:basedOn w:val="Normal"/>
    <w:uiPriority w:val="99"/>
    <w:unhideWhenUsed/>
    <w:rsid w:val="00D92388"/>
    <w:pPr>
      <w:spacing w:before="100" w:beforeAutospacing="1" w:after="119" w:line="240" w:lineRule="auto"/>
    </w:pPr>
    <w:rPr>
      <w:rFonts w:ascii="Times New Roman" w:eastAsia="Times New Roman" w:hAnsi="Times New Roman" w:cs="Times New Roman"/>
      <w:sz w:val="24"/>
      <w:szCs w:val="24"/>
    </w:rPr>
  </w:style>
  <w:style w:type="paragraph" w:customStyle="1" w:styleId="western">
    <w:name w:val="western"/>
    <w:basedOn w:val="Normal"/>
    <w:rsid w:val="00D92388"/>
    <w:pPr>
      <w:spacing w:before="100" w:beforeAutospacing="1" w:after="119"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F52749"/>
    <w:rPr>
      <w:b/>
      <w:bCs/>
    </w:rPr>
  </w:style>
  <w:style w:type="character" w:customStyle="1" w:styleId="zmsearchresult">
    <w:name w:val="zmsearchresult"/>
    <w:basedOn w:val="Fontepargpadro"/>
    <w:rsid w:val="00F52749"/>
  </w:style>
  <w:style w:type="paragraph" w:styleId="PargrafodaLista">
    <w:name w:val="List Paragraph"/>
    <w:basedOn w:val="Normal"/>
    <w:uiPriority w:val="34"/>
    <w:qFormat/>
    <w:rsid w:val="00226835"/>
    <w:pPr>
      <w:ind w:left="720"/>
      <w:contextualSpacing/>
    </w:pPr>
  </w:style>
  <w:style w:type="paragraph" w:styleId="Textodenotaderodap">
    <w:name w:val="footnote text"/>
    <w:basedOn w:val="Normal"/>
    <w:link w:val="TextodenotaderodapChar"/>
    <w:uiPriority w:val="99"/>
    <w:semiHidden/>
    <w:unhideWhenUsed/>
    <w:rsid w:val="00A9521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95217"/>
    <w:rPr>
      <w:sz w:val="20"/>
      <w:szCs w:val="20"/>
    </w:rPr>
  </w:style>
  <w:style w:type="character" w:styleId="Refdenotaderodap">
    <w:name w:val="footnote reference"/>
    <w:basedOn w:val="Fontepargpadro"/>
    <w:uiPriority w:val="99"/>
    <w:semiHidden/>
    <w:unhideWhenUsed/>
    <w:rsid w:val="00A95217"/>
    <w:rPr>
      <w:vertAlign w:val="superscript"/>
    </w:rPr>
  </w:style>
  <w:style w:type="paragraph" w:customStyle="1" w:styleId="CPLPadrao">
    <w:name w:val="CPL_Padrao"/>
    <w:rsid w:val="00F97269"/>
    <w:pPr>
      <w:suppressAutoHyphens/>
      <w:spacing w:after="283" w:line="240" w:lineRule="auto"/>
      <w:jc w:val="both"/>
    </w:pPr>
    <w:rPr>
      <w:rFonts w:ascii="Arial" w:eastAsia="SimSun" w:hAnsi="Arial" w:cs="Arial"/>
      <w:kern w:val="1"/>
      <w:sz w:val="24"/>
      <w:szCs w:val="24"/>
      <w:lang w:eastAsia="hi-IN" w:bidi="hi-IN"/>
    </w:rPr>
  </w:style>
  <w:style w:type="character" w:styleId="Hyperlink">
    <w:name w:val="Hyperlink"/>
    <w:basedOn w:val="Fontepargpadro"/>
    <w:uiPriority w:val="99"/>
    <w:unhideWhenUsed/>
    <w:rsid w:val="00EF4D9F"/>
    <w:rPr>
      <w:color w:val="0000FF" w:themeColor="hyperlink"/>
      <w:u w:val="single"/>
    </w:rPr>
  </w:style>
  <w:style w:type="paragraph" w:styleId="SemEspaamento">
    <w:name w:val="No Spacing"/>
    <w:basedOn w:val="Normal"/>
    <w:qFormat/>
    <w:rsid w:val="006410FB"/>
    <w:pPr>
      <w:suppressAutoHyphens/>
      <w:spacing w:after="0" w:line="240" w:lineRule="auto"/>
      <w:jc w:val="both"/>
      <w:textAlignment w:val="baseline"/>
    </w:pPr>
    <w:rPr>
      <w:rFonts w:ascii="Calibri" w:eastAsia="Times New Roman" w:hAnsi="Calibri" w:cs="Times New Roman"/>
      <w:kern w:val="1"/>
      <w:sz w:val="20"/>
      <w:szCs w:val="20"/>
      <w:lang w:eastAsia="zh-CN"/>
    </w:rPr>
  </w:style>
  <w:style w:type="paragraph" w:customStyle="1" w:styleId="Default">
    <w:name w:val="Default"/>
    <w:rsid w:val="00F24791"/>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gmail-cplpadrao">
    <w:name w:val="gmail-cplpadrao"/>
    <w:basedOn w:val="Normal"/>
    <w:rsid w:val="00777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default">
    <w:name w:val="gmail-default"/>
    <w:basedOn w:val="Normal"/>
    <w:rsid w:val="006A205C"/>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CF5632"/>
    <w:rPr>
      <w:i/>
      <w:iCs/>
    </w:rPr>
  </w:style>
  <w:style w:type="character" w:customStyle="1" w:styleId="Ttulo1Char">
    <w:name w:val="Título 1 Char"/>
    <w:basedOn w:val="Fontepargpadro"/>
    <w:link w:val="Ttulo1"/>
    <w:rsid w:val="002D2414"/>
    <w:rPr>
      <w:rFonts w:ascii="Times New Roman" w:eastAsia="Times New Roman" w:hAnsi="Times New Roman" w:cs="Times New Roman"/>
      <w:b/>
      <w: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24064">
      <w:bodyDiv w:val="1"/>
      <w:marLeft w:val="0"/>
      <w:marRight w:val="0"/>
      <w:marTop w:val="0"/>
      <w:marBottom w:val="0"/>
      <w:divBdr>
        <w:top w:val="none" w:sz="0" w:space="0" w:color="auto"/>
        <w:left w:val="none" w:sz="0" w:space="0" w:color="auto"/>
        <w:bottom w:val="none" w:sz="0" w:space="0" w:color="auto"/>
        <w:right w:val="none" w:sz="0" w:space="0" w:color="auto"/>
      </w:divBdr>
    </w:div>
    <w:div w:id="402338045">
      <w:bodyDiv w:val="1"/>
      <w:marLeft w:val="0"/>
      <w:marRight w:val="0"/>
      <w:marTop w:val="0"/>
      <w:marBottom w:val="0"/>
      <w:divBdr>
        <w:top w:val="none" w:sz="0" w:space="0" w:color="auto"/>
        <w:left w:val="none" w:sz="0" w:space="0" w:color="auto"/>
        <w:bottom w:val="none" w:sz="0" w:space="0" w:color="auto"/>
        <w:right w:val="none" w:sz="0" w:space="0" w:color="auto"/>
      </w:divBdr>
      <w:divsChild>
        <w:div w:id="207761909">
          <w:marLeft w:val="0"/>
          <w:marRight w:val="0"/>
          <w:marTop w:val="0"/>
          <w:marBottom w:val="0"/>
          <w:divBdr>
            <w:top w:val="none" w:sz="0" w:space="0" w:color="auto"/>
            <w:left w:val="none" w:sz="0" w:space="0" w:color="auto"/>
            <w:bottom w:val="none" w:sz="0" w:space="0" w:color="auto"/>
            <w:right w:val="none" w:sz="0" w:space="0" w:color="auto"/>
          </w:divBdr>
          <w:divsChild>
            <w:div w:id="115507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97945">
      <w:bodyDiv w:val="1"/>
      <w:marLeft w:val="0"/>
      <w:marRight w:val="0"/>
      <w:marTop w:val="0"/>
      <w:marBottom w:val="0"/>
      <w:divBdr>
        <w:top w:val="none" w:sz="0" w:space="0" w:color="auto"/>
        <w:left w:val="none" w:sz="0" w:space="0" w:color="auto"/>
        <w:bottom w:val="none" w:sz="0" w:space="0" w:color="auto"/>
        <w:right w:val="none" w:sz="0" w:space="0" w:color="auto"/>
      </w:divBdr>
      <w:divsChild>
        <w:div w:id="819619478">
          <w:marLeft w:val="0"/>
          <w:marRight w:val="0"/>
          <w:marTop w:val="0"/>
          <w:marBottom w:val="0"/>
          <w:divBdr>
            <w:top w:val="none" w:sz="0" w:space="0" w:color="auto"/>
            <w:left w:val="none" w:sz="0" w:space="0" w:color="auto"/>
            <w:bottom w:val="none" w:sz="0" w:space="0" w:color="auto"/>
            <w:right w:val="none" w:sz="0" w:space="0" w:color="auto"/>
          </w:divBdr>
          <w:divsChild>
            <w:div w:id="7524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32130">
      <w:bodyDiv w:val="1"/>
      <w:marLeft w:val="0"/>
      <w:marRight w:val="0"/>
      <w:marTop w:val="0"/>
      <w:marBottom w:val="0"/>
      <w:divBdr>
        <w:top w:val="none" w:sz="0" w:space="0" w:color="auto"/>
        <w:left w:val="none" w:sz="0" w:space="0" w:color="auto"/>
        <w:bottom w:val="none" w:sz="0" w:space="0" w:color="auto"/>
        <w:right w:val="none" w:sz="0" w:space="0" w:color="auto"/>
      </w:divBdr>
      <w:divsChild>
        <w:div w:id="109476083">
          <w:marLeft w:val="0"/>
          <w:marRight w:val="0"/>
          <w:marTop w:val="0"/>
          <w:marBottom w:val="0"/>
          <w:divBdr>
            <w:top w:val="none" w:sz="0" w:space="0" w:color="auto"/>
            <w:left w:val="none" w:sz="0" w:space="0" w:color="auto"/>
            <w:bottom w:val="none" w:sz="0" w:space="0" w:color="auto"/>
            <w:right w:val="none" w:sz="0" w:space="0" w:color="auto"/>
          </w:divBdr>
          <w:divsChild>
            <w:div w:id="698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7061">
      <w:bodyDiv w:val="1"/>
      <w:marLeft w:val="0"/>
      <w:marRight w:val="0"/>
      <w:marTop w:val="0"/>
      <w:marBottom w:val="0"/>
      <w:divBdr>
        <w:top w:val="none" w:sz="0" w:space="0" w:color="auto"/>
        <w:left w:val="none" w:sz="0" w:space="0" w:color="auto"/>
        <w:bottom w:val="none" w:sz="0" w:space="0" w:color="auto"/>
        <w:right w:val="none" w:sz="0" w:space="0" w:color="auto"/>
      </w:divBdr>
      <w:divsChild>
        <w:div w:id="1641031123">
          <w:marLeft w:val="0"/>
          <w:marRight w:val="0"/>
          <w:marTop w:val="0"/>
          <w:marBottom w:val="0"/>
          <w:divBdr>
            <w:top w:val="none" w:sz="0" w:space="0" w:color="auto"/>
            <w:left w:val="none" w:sz="0" w:space="0" w:color="auto"/>
            <w:bottom w:val="none" w:sz="0" w:space="0" w:color="auto"/>
            <w:right w:val="none" w:sz="0" w:space="0" w:color="auto"/>
          </w:divBdr>
          <w:divsChild>
            <w:div w:id="8321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5419">
      <w:bodyDiv w:val="1"/>
      <w:marLeft w:val="0"/>
      <w:marRight w:val="0"/>
      <w:marTop w:val="0"/>
      <w:marBottom w:val="0"/>
      <w:divBdr>
        <w:top w:val="none" w:sz="0" w:space="0" w:color="auto"/>
        <w:left w:val="none" w:sz="0" w:space="0" w:color="auto"/>
        <w:bottom w:val="none" w:sz="0" w:space="0" w:color="auto"/>
        <w:right w:val="none" w:sz="0" w:space="0" w:color="auto"/>
      </w:divBdr>
    </w:div>
    <w:div w:id="855273192">
      <w:bodyDiv w:val="1"/>
      <w:marLeft w:val="0"/>
      <w:marRight w:val="0"/>
      <w:marTop w:val="0"/>
      <w:marBottom w:val="0"/>
      <w:divBdr>
        <w:top w:val="none" w:sz="0" w:space="0" w:color="auto"/>
        <w:left w:val="none" w:sz="0" w:space="0" w:color="auto"/>
        <w:bottom w:val="none" w:sz="0" w:space="0" w:color="auto"/>
        <w:right w:val="none" w:sz="0" w:space="0" w:color="auto"/>
      </w:divBdr>
    </w:div>
    <w:div w:id="985821626">
      <w:bodyDiv w:val="1"/>
      <w:marLeft w:val="0"/>
      <w:marRight w:val="0"/>
      <w:marTop w:val="0"/>
      <w:marBottom w:val="0"/>
      <w:divBdr>
        <w:top w:val="none" w:sz="0" w:space="0" w:color="auto"/>
        <w:left w:val="none" w:sz="0" w:space="0" w:color="auto"/>
        <w:bottom w:val="none" w:sz="0" w:space="0" w:color="auto"/>
        <w:right w:val="none" w:sz="0" w:space="0" w:color="auto"/>
      </w:divBdr>
      <w:divsChild>
        <w:div w:id="1783760831">
          <w:marLeft w:val="0"/>
          <w:marRight w:val="0"/>
          <w:marTop w:val="0"/>
          <w:marBottom w:val="0"/>
          <w:divBdr>
            <w:top w:val="none" w:sz="0" w:space="0" w:color="auto"/>
            <w:left w:val="none" w:sz="0" w:space="0" w:color="auto"/>
            <w:bottom w:val="none" w:sz="0" w:space="0" w:color="auto"/>
            <w:right w:val="none" w:sz="0" w:space="0" w:color="auto"/>
          </w:divBdr>
          <w:divsChild>
            <w:div w:id="257716441">
              <w:marLeft w:val="0"/>
              <w:marRight w:val="0"/>
              <w:marTop w:val="0"/>
              <w:marBottom w:val="0"/>
              <w:divBdr>
                <w:top w:val="none" w:sz="0" w:space="0" w:color="auto"/>
                <w:left w:val="none" w:sz="0" w:space="0" w:color="auto"/>
                <w:bottom w:val="none" w:sz="0" w:space="0" w:color="auto"/>
                <w:right w:val="none" w:sz="0" w:space="0" w:color="auto"/>
              </w:divBdr>
              <w:divsChild>
                <w:div w:id="280114757">
                  <w:marLeft w:val="0"/>
                  <w:marRight w:val="0"/>
                  <w:marTop w:val="0"/>
                  <w:marBottom w:val="0"/>
                  <w:divBdr>
                    <w:top w:val="none" w:sz="0" w:space="0" w:color="auto"/>
                    <w:left w:val="none" w:sz="0" w:space="0" w:color="auto"/>
                    <w:bottom w:val="none" w:sz="0" w:space="0" w:color="auto"/>
                    <w:right w:val="none" w:sz="0" w:space="0" w:color="auto"/>
                  </w:divBdr>
                  <w:divsChild>
                    <w:div w:id="1255089655">
                      <w:marLeft w:val="0"/>
                      <w:marRight w:val="0"/>
                      <w:marTop w:val="0"/>
                      <w:marBottom w:val="0"/>
                      <w:divBdr>
                        <w:top w:val="none" w:sz="0" w:space="0" w:color="auto"/>
                        <w:left w:val="none" w:sz="0" w:space="0" w:color="auto"/>
                        <w:bottom w:val="none" w:sz="0" w:space="0" w:color="auto"/>
                        <w:right w:val="none" w:sz="0" w:space="0" w:color="auto"/>
                      </w:divBdr>
                      <w:divsChild>
                        <w:div w:id="1134058898">
                          <w:marLeft w:val="0"/>
                          <w:marRight w:val="0"/>
                          <w:marTop w:val="0"/>
                          <w:marBottom w:val="0"/>
                          <w:divBdr>
                            <w:top w:val="none" w:sz="0" w:space="0" w:color="auto"/>
                            <w:left w:val="none" w:sz="0" w:space="0" w:color="auto"/>
                            <w:bottom w:val="none" w:sz="0" w:space="0" w:color="auto"/>
                            <w:right w:val="none" w:sz="0" w:space="0" w:color="auto"/>
                          </w:divBdr>
                          <w:divsChild>
                            <w:div w:id="1556233632">
                              <w:marLeft w:val="0"/>
                              <w:marRight w:val="0"/>
                              <w:marTop w:val="0"/>
                              <w:marBottom w:val="0"/>
                              <w:divBdr>
                                <w:top w:val="none" w:sz="0" w:space="0" w:color="auto"/>
                                <w:left w:val="none" w:sz="0" w:space="0" w:color="auto"/>
                                <w:bottom w:val="none" w:sz="0" w:space="0" w:color="auto"/>
                                <w:right w:val="none" w:sz="0" w:space="0" w:color="auto"/>
                              </w:divBdr>
                              <w:divsChild>
                                <w:div w:id="5034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10812">
      <w:bodyDiv w:val="1"/>
      <w:marLeft w:val="0"/>
      <w:marRight w:val="0"/>
      <w:marTop w:val="0"/>
      <w:marBottom w:val="0"/>
      <w:divBdr>
        <w:top w:val="none" w:sz="0" w:space="0" w:color="auto"/>
        <w:left w:val="none" w:sz="0" w:space="0" w:color="auto"/>
        <w:bottom w:val="none" w:sz="0" w:space="0" w:color="auto"/>
        <w:right w:val="none" w:sz="0" w:space="0" w:color="auto"/>
      </w:divBdr>
    </w:div>
    <w:div w:id="1213732776">
      <w:bodyDiv w:val="1"/>
      <w:marLeft w:val="0"/>
      <w:marRight w:val="0"/>
      <w:marTop w:val="0"/>
      <w:marBottom w:val="0"/>
      <w:divBdr>
        <w:top w:val="none" w:sz="0" w:space="0" w:color="auto"/>
        <w:left w:val="none" w:sz="0" w:space="0" w:color="auto"/>
        <w:bottom w:val="none" w:sz="0" w:space="0" w:color="auto"/>
        <w:right w:val="none" w:sz="0" w:space="0" w:color="auto"/>
      </w:divBdr>
    </w:div>
    <w:div w:id="1265311648">
      <w:bodyDiv w:val="1"/>
      <w:marLeft w:val="0"/>
      <w:marRight w:val="0"/>
      <w:marTop w:val="0"/>
      <w:marBottom w:val="0"/>
      <w:divBdr>
        <w:top w:val="none" w:sz="0" w:space="0" w:color="auto"/>
        <w:left w:val="none" w:sz="0" w:space="0" w:color="auto"/>
        <w:bottom w:val="none" w:sz="0" w:space="0" w:color="auto"/>
        <w:right w:val="none" w:sz="0" w:space="0" w:color="auto"/>
      </w:divBdr>
      <w:divsChild>
        <w:div w:id="218783075">
          <w:marLeft w:val="0"/>
          <w:marRight w:val="0"/>
          <w:marTop w:val="0"/>
          <w:marBottom w:val="0"/>
          <w:divBdr>
            <w:top w:val="none" w:sz="0" w:space="0" w:color="auto"/>
            <w:left w:val="none" w:sz="0" w:space="0" w:color="auto"/>
            <w:bottom w:val="none" w:sz="0" w:space="0" w:color="auto"/>
            <w:right w:val="none" w:sz="0" w:space="0" w:color="auto"/>
          </w:divBdr>
          <w:divsChild>
            <w:div w:id="777990625">
              <w:marLeft w:val="0"/>
              <w:marRight w:val="0"/>
              <w:marTop w:val="0"/>
              <w:marBottom w:val="0"/>
              <w:divBdr>
                <w:top w:val="none" w:sz="0" w:space="0" w:color="auto"/>
                <w:left w:val="none" w:sz="0" w:space="0" w:color="auto"/>
                <w:bottom w:val="none" w:sz="0" w:space="0" w:color="auto"/>
                <w:right w:val="none" w:sz="0" w:space="0" w:color="auto"/>
              </w:divBdr>
              <w:divsChild>
                <w:div w:id="601493509">
                  <w:marLeft w:val="0"/>
                  <w:marRight w:val="0"/>
                  <w:marTop w:val="0"/>
                  <w:marBottom w:val="0"/>
                  <w:divBdr>
                    <w:top w:val="none" w:sz="0" w:space="0" w:color="auto"/>
                    <w:left w:val="none" w:sz="0" w:space="0" w:color="auto"/>
                    <w:bottom w:val="none" w:sz="0" w:space="0" w:color="auto"/>
                    <w:right w:val="none" w:sz="0" w:space="0" w:color="auto"/>
                  </w:divBdr>
                  <w:divsChild>
                    <w:div w:id="525487320">
                      <w:marLeft w:val="0"/>
                      <w:marRight w:val="0"/>
                      <w:marTop w:val="0"/>
                      <w:marBottom w:val="0"/>
                      <w:divBdr>
                        <w:top w:val="none" w:sz="0" w:space="0" w:color="auto"/>
                        <w:left w:val="none" w:sz="0" w:space="0" w:color="auto"/>
                        <w:bottom w:val="none" w:sz="0" w:space="0" w:color="auto"/>
                        <w:right w:val="none" w:sz="0" w:space="0" w:color="auto"/>
                      </w:divBdr>
                      <w:divsChild>
                        <w:div w:id="349071968">
                          <w:marLeft w:val="0"/>
                          <w:marRight w:val="0"/>
                          <w:marTop w:val="0"/>
                          <w:marBottom w:val="0"/>
                          <w:divBdr>
                            <w:top w:val="none" w:sz="0" w:space="0" w:color="auto"/>
                            <w:left w:val="none" w:sz="0" w:space="0" w:color="auto"/>
                            <w:bottom w:val="none" w:sz="0" w:space="0" w:color="auto"/>
                            <w:right w:val="none" w:sz="0" w:space="0" w:color="auto"/>
                          </w:divBdr>
                          <w:divsChild>
                            <w:div w:id="30763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8824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25">
          <w:marLeft w:val="0"/>
          <w:marRight w:val="0"/>
          <w:marTop w:val="0"/>
          <w:marBottom w:val="0"/>
          <w:divBdr>
            <w:top w:val="none" w:sz="0" w:space="0" w:color="auto"/>
            <w:left w:val="none" w:sz="0" w:space="0" w:color="auto"/>
            <w:bottom w:val="none" w:sz="0" w:space="0" w:color="auto"/>
            <w:right w:val="none" w:sz="0" w:space="0" w:color="auto"/>
          </w:divBdr>
          <w:divsChild>
            <w:div w:id="4128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9360">
      <w:bodyDiv w:val="1"/>
      <w:marLeft w:val="0"/>
      <w:marRight w:val="0"/>
      <w:marTop w:val="0"/>
      <w:marBottom w:val="0"/>
      <w:divBdr>
        <w:top w:val="none" w:sz="0" w:space="0" w:color="auto"/>
        <w:left w:val="none" w:sz="0" w:space="0" w:color="auto"/>
        <w:bottom w:val="none" w:sz="0" w:space="0" w:color="auto"/>
        <w:right w:val="none" w:sz="0" w:space="0" w:color="auto"/>
      </w:divBdr>
    </w:div>
    <w:div w:id="1319453955">
      <w:bodyDiv w:val="1"/>
      <w:marLeft w:val="0"/>
      <w:marRight w:val="0"/>
      <w:marTop w:val="0"/>
      <w:marBottom w:val="0"/>
      <w:divBdr>
        <w:top w:val="none" w:sz="0" w:space="0" w:color="auto"/>
        <w:left w:val="none" w:sz="0" w:space="0" w:color="auto"/>
        <w:bottom w:val="none" w:sz="0" w:space="0" w:color="auto"/>
        <w:right w:val="none" w:sz="0" w:space="0" w:color="auto"/>
      </w:divBdr>
      <w:divsChild>
        <w:div w:id="361053283">
          <w:marLeft w:val="0"/>
          <w:marRight w:val="0"/>
          <w:marTop w:val="0"/>
          <w:marBottom w:val="0"/>
          <w:divBdr>
            <w:top w:val="none" w:sz="0" w:space="0" w:color="auto"/>
            <w:left w:val="none" w:sz="0" w:space="0" w:color="auto"/>
            <w:bottom w:val="none" w:sz="0" w:space="0" w:color="auto"/>
            <w:right w:val="none" w:sz="0" w:space="0" w:color="auto"/>
          </w:divBdr>
          <w:divsChild>
            <w:div w:id="18652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83912">
      <w:bodyDiv w:val="1"/>
      <w:marLeft w:val="0"/>
      <w:marRight w:val="0"/>
      <w:marTop w:val="0"/>
      <w:marBottom w:val="0"/>
      <w:divBdr>
        <w:top w:val="none" w:sz="0" w:space="0" w:color="auto"/>
        <w:left w:val="none" w:sz="0" w:space="0" w:color="auto"/>
        <w:bottom w:val="none" w:sz="0" w:space="0" w:color="auto"/>
        <w:right w:val="none" w:sz="0" w:space="0" w:color="auto"/>
      </w:divBdr>
    </w:div>
    <w:div w:id="1449160376">
      <w:bodyDiv w:val="1"/>
      <w:marLeft w:val="0"/>
      <w:marRight w:val="0"/>
      <w:marTop w:val="0"/>
      <w:marBottom w:val="0"/>
      <w:divBdr>
        <w:top w:val="none" w:sz="0" w:space="0" w:color="auto"/>
        <w:left w:val="none" w:sz="0" w:space="0" w:color="auto"/>
        <w:bottom w:val="none" w:sz="0" w:space="0" w:color="auto"/>
        <w:right w:val="none" w:sz="0" w:space="0" w:color="auto"/>
      </w:divBdr>
      <w:divsChild>
        <w:div w:id="303047157">
          <w:marLeft w:val="0"/>
          <w:marRight w:val="0"/>
          <w:marTop w:val="0"/>
          <w:marBottom w:val="0"/>
          <w:divBdr>
            <w:top w:val="none" w:sz="0" w:space="0" w:color="auto"/>
            <w:left w:val="none" w:sz="0" w:space="0" w:color="auto"/>
            <w:bottom w:val="none" w:sz="0" w:space="0" w:color="auto"/>
            <w:right w:val="none" w:sz="0" w:space="0" w:color="auto"/>
          </w:divBdr>
        </w:div>
      </w:divsChild>
    </w:div>
    <w:div w:id="1630937318">
      <w:bodyDiv w:val="1"/>
      <w:marLeft w:val="0"/>
      <w:marRight w:val="0"/>
      <w:marTop w:val="0"/>
      <w:marBottom w:val="0"/>
      <w:divBdr>
        <w:top w:val="none" w:sz="0" w:space="0" w:color="auto"/>
        <w:left w:val="none" w:sz="0" w:space="0" w:color="auto"/>
        <w:bottom w:val="none" w:sz="0" w:space="0" w:color="auto"/>
        <w:right w:val="none" w:sz="0" w:space="0" w:color="auto"/>
      </w:divBdr>
    </w:div>
    <w:div w:id="1714159869">
      <w:bodyDiv w:val="1"/>
      <w:marLeft w:val="0"/>
      <w:marRight w:val="0"/>
      <w:marTop w:val="0"/>
      <w:marBottom w:val="0"/>
      <w:divBdr>
        <w:top w:val="none" w:sz="0" w:space="0" w:color="auto"/>
        <w:left w:val="none" w:sz="0" w:space="0" w:color="auto"/>
        <w:bottom w:val="none" w:sz="0" w:space="0" w:color="auto"/>
        <w:right w:val="none" w:sz="0" w:space="0" w:color="auto"/>
      </w:divBdr>
    </w:div>
    <w:div w:id="1779835370">
      <w:bodyDiv w:val="1"/>
      <w:marLeft w:val="0"/>
      <w:marRight w:val="0"/>
      <w:marTop w:val="0"/>
      <w:marBottom w:val="0"/>
      <w:divBdr>
        <w:top w:val="none" w:sz="0" w:space="0" w:color="auto"/>
        <w:left w:val="none" w:sz="0" w:space="0" w:color="auto"/>
        <w:bottom w:val="none" w:sz="0" w:space="0" w:color="auto"/>
        <w:right w:val="none" w:sz="0" w:space="0" w:color="auto"/>
      </w:divBdr>
    </w:div>
    <w:div w:id="1939409521">
      <w:bodyDiv w:val="1"/>
      <w:marLeft w:val="0"/>
      <w:marRight w:val="0"/>
      <w:marTop w:val="0"/>
      <w:marBottom w:val="0"/>
      <w:divBdr>
        <w:top w:val="none" w:sz="0" w:space="0" w:color="auto"/>
        <w:left w:val="none" w:sz="0" w:space="0" w:color="auto"/>
        <w:bottom w:val="none" w:sz="0" w:space="0" w:color="auto"/>
        <w:right w:val="none" w:sz="0" w:space="0" w:color="auto"/>
      </w:divBdr>
      <w:divsChild>
        <w:div w:id="1867401734">
          <w:marLeft w:val="0"/>
          <w:marRight w:val="0"/>
          <w:marTop w:val="0"/>
          <w:marBottom w:val="0"/>
          <w:divBdr>
            <w:top w:val="none" w:sz="0" w:space="0" w:color="auto"/>
            <w:left w:val="none" w:sz="0" w:space="0" w:color="auto"/>
            <w:bottom w:val="none" w:sz="0" w:space="0" w:color="auto"/>
            <w:right w:val="none" w:sz="0" w:space="0" w:color="auto"/>
          </w:divBdr>
          <w:divsChild>
            <w:div w:id="24212601">
              <w:marLeft w:val="0"/>
              <w:marRight w:val="0"/>
              <w:marTop w:val="0"/>
              <w:marBottom w:val="0"/>
              <w:divBdr>
                <w:top w:val="none" w:sz="0" w:space="0" w:color="auto"/>
                <w:left w:val="none" w:sz="0" w:space="0" w:color="auto"/>
                <w:bottom w:val="none" w:sz="0" w:space="0" w:color="auto"/>
                <w:right w:val="none" w:sz="0" w:space="0" w:color="auto"/>
              </w:divBdr>
              <w:divsChild>
                <w:div w:id="1254625501">
                  <w:marLeft w:val="0"/>
                  <w:marRight w:val="0"/>
                  <w:marTop w:val="0"/>
                  <w:marBottom w:val="0"/>
                  <w:divBdr>
                    <w:top w:val="none" w:sz="0" w:space="0" w:color="auto"/>
                    <w:left w:val="none" w:sz="0" w:space="0" w:color="auto"/>
                    <w:bottom w:val="none" w:sz="0" w:space="0" w:color="auto"/>
                    <w:right w:val="none" w:sz="0" w:space="0" w:color="auto"/>
                  </w:divBdr>
                  <w:divsChild>
                    <w:div w:id="884214249">
                      <w:marLeft w:val="0"/>
                      <w:marRight w:val="0"/>
                      <w:marTop w:val="0"/>
                      <w:marBottom w:val="0"/>
                      <w:divBdr>
                        <w:top w:val="none" w:sz="0" w:space="0" w:color="auto"/>
                        <w:left w:val="none" w:sz="0" w:space="0" w:color="auto"/>
                        <w:bottom w:val="none" w:sz="0" w:space="0" w:color="auto"/>
                        <w:right w:val="none" w:sz="0" w:space="0" w:color="auto"/>
                      </w:divBdr>
                      <w:divsChild>
                        <w:div w:id="1787510">
                          <w:marLeft w:val="0"/>
                          <w:marRight w:val="0"/>
                          <w:marTop w:val="0"/>
                          <w:marBottom w:val="0"/>
                          <w:divBdr>
                            <w:top w:val="none" w:sz="0" w:space="0" w:color="auto"/>
                            <w:left w:val="none" w:sz="0" w:space="0" w:color="auto"/>
                            <w:bottom w:val="none" w:sz="0" w:space="0" w:color="auto"/>
                            <w:right w:val="none" w:sz="0" w:space="0" w:color="auto"/>
                          </w:divBdr>
                          <w:divsChild>
                            <w:div w:id="882405224">
                              <w:marLeft w:val="0"/>
                              <w:marRight w:val="0"/>
                              <w:marTop w:val="0"/>
                              <w:marBottom w:val="0"/>
                              <w:divBdr>
                                <w:top w:val="none" w:sz="0" w:space="0" w:color="auto"/>
                                <w:left w:val="none" w:sz="0" w:space="0" w:color="auto"/>
                                <w:bottom w:val="none" w:sz="0" w:space="0" w:color="auto"/>
                                <w:right w:val="none" w:sz="0" w:space="0" w:color="auto"/>
                              </w:divBdr>
                              <w:divsChild>
                                <w:div w:id="806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739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pmg.mp.br/acesso-a-informacao/licitacoes/licitaco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2C948-F7D2-4104-B600-64E94388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1919</Words>
  <Characters>10364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iuuuiuiuuuuuuuuuuuuuuuuuuuuuuuuuuuuuuuuuuuuuuuuuuuuuuuuuuuuuuuuuuu</vt:lpstr>
    </vt:vector>
  </TitlesOfParts>
  <Company>Ministério Público do Estado de Minas Gerais - MPMG</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iuuuiuiuuuuuuuuuuuuuuuuuuuuuuuuuuuuuuuuuuuuuuuuuuuuuuuuuuuuuuuuuuu</dc:title>
  <dc:creator>P.G.J. / MG</dc:creator>
  <cp:lastModifiedBy>Carmen Lucia Mariz de Macedo</cp:lastModifiedBy>
  <cp:revision>11</cp:revision>
  <cp:lastPrinted>2018-06-20T13:30:00Z</cp:lastPrinted>
  <dcterms:created xsi:type="dcterms:W3CDTF">2019-11-27T12:05:00Z</dcterms:created>
  <dcterms:modified xsi:type="dcterms:W3CDTF">2019-11-27T16:05:00Z</dcterms:modified>
</cp:coreProperties>
</file>